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b w:val="0"/>
          <w:bCs w:val="0"/>
          <w:sz w:val="48"/>
          <w:szCs w:val="48"/>
        </w:rPr>
      </w:pPr>
      <w:r>
        <w:rPr>
          <w:rFonts w:hint="eastAsia" w:eastAsia="方正小标宋_GBK"/>
          <w:b w:val="0"/>
          <w:bCs w:val="0"/>
          <w:sz w:val="48"/>
          <w:szCs w:val="48"/>
        </w:rPr>
        <w:t>2023</w:t>
      </w:r>
      <w:r>
        <w:rPr>
          <w:rFonts w:eastAsia="方正小标宋_GBK"/>
          <w:b w:val="0"/>
          <w:bCs w:val="0"/>
          <w:sz w:val="48"/>
          <w:szCs w:val="48"/>
        </w:rPr>
        <w:t>年度</w:t>
      </w:r>
      <w:r>
        <w:rPr>
          <w:rFonts w:hint="eastAsia" w:eastAsia="方正小标宋_GBK"/>
          <w:b w:val="0"/>
          <w:bCs w:val="0"/>
          <w:sz w:val="48"/>
          <w:szCs w:val="48"/>
        </w:rPr>
        <w:t>江永县</w:t>
      </w:r>
      <w:r>
        <w:rPr>
          <w:rFonts w:hint="eastAsia" w:eastAsia="方正小标宋_GBK"/>
          <w:b w:val="0"/>
          <w:bCs w:val="0"/>
          <w:sz w:val="48"/>
          <w:szCs w:val="48"/>
          <w:lang w:eastAsia="zh-CN"/>
        </w:rPr>
        <w:t>桃川镇上洞学校</w:t>
      </w:r>
      <w:r>
        <w:rPr>
          <w:rFonts w:eastAsia="方正小标宋_GBK"/>
          <w:b w:val="0"/>
          <w:bCs w:val="0"/>
          <w:sz w:val="48"/>
          <w:szCs w:val="48"/>
        </w:rPr>
        <w:t>整体支出绩效自评报告</w:t>
      </w:r>
    </w:p>
    <w:p>
      <w:pPr>
        <w:jc w:val="center"/>
        <w:rPr>
          <w:rFonts w:eastAsia="楷体_GB2312"/>
          <w:b w:val="0"/>
          <w:bCs w:val="0"/>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b/>
          <w:bCs/>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spacing w:line="600" w:lineRule="exact"/>
        <w:jc w:val="center"/>
        <w:rPr>
          <w:rFonts w:hint="eastAsia" w:ascii="方正小标宋简体" w:hAnsi="方正小标宋简体" w:eastAsia="方正小标宋简体"/>
          <w:kern w:val="0"/>
          <w:sz w:val="44"/>
          <w:szCs w:val="44"/>
        </w:rPr>
      </w:pPr>
      <w:r>
        <w:rPr>
          <w:rFonts w:eastAsia="仿宋_GB2312"/>
          <w:sz w:val="32"/>
          <w:szCs w:val="32"/>
        </w:rPr>
        <w:br w:type="page"/>
      </w:r>
      <w:r>
        <w:rPr>
          <w:rFonts w:hint="eastAsia" w:ascii="方正小标宋简体" w:hAnsi="方正小标宋简体" w:eastAsia="方正小标宋简体"/>
          <w:kern w:val="0"/>
          <w:sz w:val="44"/>
          <w:szCs w:val="44"/>
        </w:rPr>
        <w:t>2023年度江永县</w:t>
      </w:r>
      <w:r>
        <w:rPr>
          <w:rFonts w:hint="eastAsia" w:ascii="方正小标宋简体" w:hAnsi="方正小标宋简体" w:eastAsia="方正小标宋简体"/>
          <w:kern w:val="0"/>
          <w:sz w:val="44"/>
          <w:szCs w:val="44"/>
          <w:lang w:eastAsia="zh-CN"/>
        </w:rPr>
        <w:t>桃川镇上洞学校部门</w:t>
      </w:r>
      <w:r>
        <w:rPr>
          <w:rFonts w:hint="eastAsia" w:ascii="方正小标宋简体" w:hAnsi="方正小标宋简体" w:eastAsia="方正小标宋简体"/>
          <w:kern w:val="0"/>
          <w:sz w:val="44"/>
          <w:szCs w:val="44"/>
        </w:rPr>
        <w:t>整体支出绩效自评报告</w:t>
      </w:r>
    </w:p>
    <w:p>
      <w:pPr>
        <w:spacing w:line="600" w:lineRule="exact"/>
        <w:ind w:firstLine="640" w:firstLineChars="200"/>
        <w:rPr>
          <w:rFonts w:hint="eastAsia" w:ascii="黑体" w:hAnsi="黑体" w:eastAsia="黑体"/>
          <w:kern w:val="0"/>
          <w:sz w:val="32"/>
          <w:szCs w:val="32"/>
        </w:rPr>
      </w:pP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一、基本情况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（一）部门基本情况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eastAsia="zh-CN"/>
        </w:rPr>
        <w:t>江永县</w:t>
      </w:r>
      <w:r>
        <w:rPr>
          <w:rFonts w:hint="eastAsia" w:ascii="仿宋" w:hAnsi="仿宋" w:eastAsia="仿宋" w:cs="仿宋"/>
          <w:kern w:val="0"/>
          <w:sz w:val="32"/>
          <w:szCs w:val="32"/>
        </w:rPr>
        <w:t>桃川镇</w:t>
      </w:r>
      <w:r>
        <w:rPr>
          <w:rFonts w:hint="eastAsia" w:ascii="仿宋" w:hAnsi="仿宋" w:eastAsia="仿宋" w:cs="仿宋"/>
          <w:kern w:val="0"/>
          <w:sz w:val="32"/>
          <w:szCs w:val="32"/>
          <w:lang w:eastAsia="zh-CN"/>
        </w:rPr>
        <w:t>上洞学校</w:t>
      </w:r>
      <w:r>
        <w:rPr>
          <w:rFonts w:hint="eastAsia" w:ascii="仿宋" w:hAnsi="仿宋" w:eastAsia="仿宋" w:cs="仿宋"/>
          <w:kern w:val="0"/>
          <w:sz w:val="32"/>
          <w:szCs w:val="32"/>
        </w:rPr>
        <w:t>位于美丽富饶的江永县桃川镇，下辖 1所</w:t>
      </w:r>
      <w:r>
        <w:rPr>
          <w:rFonts w:hint="eastAsia" w:ascii="仿宋" w:hAnsi="仿宋" w:eastAsia="仿宋" w:cs="仿宋"/>
          <w:kern w:val="0"/>
          <w:sz w:val="32"/>
          <w:szCs w:val="32"/>
          <w:lang w:eastAsia="zh-CN"/>
        </w:rPr>
        <w:t>九年一贯制学校</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 xml:space="preserve"> 所村小教学点。一所中心校:桃川镇</w:t>
      </w:r>
      <w:r>
        <w:rPr>
          <w:rFonts w:hint="eastAsia" w:ascii="仿宋" w:hAnsi="仿宋" w:eastAsia="仿宋" w:cs="仿宋"/>
          <w:kern w:val="0"/>
          <w:sz w:val="32"/>
          <w:szCs w:val="32"/>
          <w:lang w:eastAsia="zh-CN"/>
        </w:rPr>
        <w:t>上洞学</w:t>
      </w:r>
      <w:r>
        <w:rPr>
          <w:rFonts w:hint="eastAsia" w:ascii="仿宋" w:hAnsi="仿宋" w:eastAsia="仿宋" w:cs="仿宋"/>
          <w:kern w:val="0"/>
          <w:sz w:val="32"/>
          <w:szCs w:val="32"/>
        </w:rPr>
        <w:t>校;</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所村小教学点:</w:t>
      </w:r>
      <w:r>
        <w:rPr>
          <w:rFonts w:hint="eastAsia" w:ascii="仿宋" w:hAnsi="仿宋" w:eastAsia="仿宋" w:cs="仿宋"/>
          <w:kern w:val="0"/>
          <w:sz w:val="32"/>
          <w:szCs w:val="32"/>
          <w:lang w:eastAsia="zh-CN"/>
        </w:rPr>
        <w:t>锦堂</w:t>
      </w:r>
      <w:r>
        <w:rPr>
          <w:rFonts w:hint="eastAsia" w:ascii="仿宋" w:hAnsi="仿宋" w:eastAsia="仿宋" w:cs="仿宋"/>
          <w:kern w:val="0"/>
          <w:sz w:val="32"/>
          <w:szCs w:val="32"/>
        </w:rPr>
        <w:t>小学、</w:t>
      </w:r>
      <w:r>
        <w:rPr>
          <w:rFonts w:hint="eastAsia" w:ascii="仿宋" w:hAnsi="仿宋" w:eastAsia="仿宋" w:cs="仿宋"/>
          <w:kern w:val="0"/>
          <w:sz w:val="32"/>
          <w:szCs w:val="32"/>
          <w:lang w:eastAsia="zh-CN"/>
        </w:rPr>
        <w:t>朝阳</w:t>
      </w:r>
      <w:r>
        <w:rPr>
          <w:rFonts w:hint="eastAsia" w:ascii="仿宋" w:hAnsi="仿宋" w:eastAsia="仿宋" w:cs="仿宋"/>
          <w:kern w:val="0"/>
          <w:sz w:val="32"/>
          <w:szCs w:val="32"/>
        </w:rPr>
        <w:t>小学。所辖学校在校学生</w:t>
      </w:r>
      <w:r>
        <w:rPr>
          <w:rFonts w:hint="eastAsia" w:ascii="仿宋" w:hAnsi="仿宋" w:eastAsia="仿宋" w:cs="仿宋"/>
          <w:kern w:val="0"/>
          <w:sz w:val="32"/>
          <w:szCs w:val="32"/>
          <w:lang w:val="en-US" w:eastAsia="zh-CN"/>
        </w:rPr>
        <w:t>634</w:t>
      </w:r>
      <w:r>
        <w:rPr>
          <w:rFonts w:hint="eastAsia" w:ascii="仿宋" w:hAnsi="仿宋" w:eastAsia="仿宋" w:cs="仿宋"/>
          <w:kern w:val="0"/>
          <w:sz w:val="32"/>
          <w:szCs w:val="32"/>
        </w:rPr>
        <w:t xml:space="preserve">人，共有班级 </w:t>
      </w:r>
      <w:r>
        <w:rPr>
          <w:rFonts w:hint="eastAsia" w:ascii="仿宋" w:hAnsi="仿宋" w:eastAsia="仿宋" w:cs="仿宋"/>
          <w:kern w:val="0"/>
          <w:sz w:val="32"/>
          <w:szCs w:val="32"/>
          <w:lang w:val="en-US" w:eastAsia="zh-CN"/>
        </w:rPr>
        <w:t>21</w:t>
      </w:r>
      <w:r>
        <w:rPr>
          <w:rFonts w:hint="eastAsia" w:ascii="仿宋" w:hAnsi="仿宋" w:eastAsia="仿宋" w:cs="仿宋"/>
          <w:kern w:val="0"/>
          <w:sz w:val="32"/>
          <w:szCs w:val="32"/>
        </w:rPr>
        <w:t xml:space="preserve"> 个，班级学生数都在 45 人以内。</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学校现有在编干部职工 </w:t>
      </w:r>
      <w:r>
        <w:rPr>
          <w:rFonts w:hint="eastAsia" w:ascii="仿宋" w:hAnsi="仿宋" w:eastAsia="仿宋" w:cs="仿宋"/>
          <w:kern w:val="0"/>
          <w:sz w:val="32"/>
          <w:szCs w:val="32"/>
          <w:lang w:val="en-US" w:eastAsia="zh-CN"/>
        </w:rPr>
        <w:t>49</w:t>
      </w:r>
      <w:r>
        <w:rPr>
          <w:rFonts w:hint="eastAsia" w:ascii="仿宋" w:hAnsi="仿宋" w:eastAsia="仿宋" w:cs="仿宋"/>
          <w:kern w:val="0"/>
          <w:sz w:val="32"/>
          <w:szCs w:val="32"/>
        </w:rPr>
        <w:t xml:space="preserve"> 人，其中特岗 </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 xml:space="preserve"> 人；退休教师 </w:t>
      </w:r>
      <w:r>
        <w:rPr>
          <w:rFonts w:hint="eastAsia" w:ascii="仿宋" w:hAnsi="仿宋" w:eastAsia="仿宋" w:cs="仿宋"/>
          <w:kern w:val="0"/>
          <w:sz w:val="32"/>
          <w:szCs w:val="32"/>
          <w:lang w:val="en-US" w:eastAsia="zh-CN"/>
        </w:rPr>
        <w:t>16</w:t>
      </w:r>
      <w:r>
        <w:rPr>
          <w:rFonts w:hint="eastAsia" w:ascii="仿宋" w:hAnsi="仿宋" w:eastAsia="仿宋" w:cs="仿宋"/>
          <w:kern w:val="0"/>
          <w:sz w:val="32"/>
          <w:szCs w:val="32"/>
        </w:rPr>
        <w:t xml:space="preserve"> 人。</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部门年度整体支出绩效目标：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目标 1：学校以习近平新时代中国特色社会主义思想为指导坚持立德树人、依法办学，积极推进素质教育。</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目标 2：加强学校校园安全建设，杜绝各类安全事故；</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目标 3：后勤教职工保障好学校的服务工作，保障学生在学习过程中接触良好的教学设施设备、享有良好的学习环境、拥有良好的吃住行条件；</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绩效目标 4：教学质量和办学水平全面提升，办好人民满意教育，认真落实《教育规划纲要》，全面提高教育教学质量，稳步提高教学质量，办位列全县名列前茅的优质教育。</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二、一般公共预算支出情况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（一）基本支出情况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1、2023 年度江永县桃川镇</w:t>
      </w:r>
      <w:r>
        <w:rPr>
          <w:rFonts w:hint="eastAsia" w:ascii="仿宋" w:hAnsi="仿宋" w:eastAsia="仿宋" w:cs="仿宋"/>
          <w:kern w:val="0"/>
          <w:sz w:val="32"/>
          <w:szCs w:val="32"/>
          <w:lang w:eastAsia="zh-CN"/>
        </w:rPr>
        <w:t>上洞学校</w:t>
      </w:r>
      <w:r>
        <w:rPr>
          <w:rFonts w:hint="eastAsia" w:ascii="仿宋" w:hAnsi="仿宋" w:eastAsia="仿宋" w:cs="仿宋"/>
          <w:kern w:val="0"/>
          <w:sz w:val="32"/>
          <w:szCs w:val="32"/>
        </w:rPr>
        <w:t>基本支出的主要用</w:t>
      </w:r>
    </w:p>
    <w:p>
      <w:pPr>
        <w:spacing w:line="600" w:lineRule="exact"/>
        <w:rPr>
          <w:rFonts w:hint="eastAsia" w:ascii="仿宋" w:hAnsi="仿宋" w:eastAsia="仿宋" w:cs="仿宋"/>
          <w:kern w:val="0"/>
          <w:sz w:val="32"/>
          <w:szCs w:val="32"/>
        </w:rPr>
      </w:pPr>
      <w:r>
        <w:rPr>
          <w:rFonts w:hint="eastAsia" w:ascii="仿宋" w:hAnsi="仿宋" w:eastAsia="仿宋" w:cs="仿宋"/>
          <w:kern w:val="0"/>
          <w:sz w:val="32"/>
          <w:szCs w:val="32"/>
        </w:rPr>
        <w:t>途、范围以及资金的管理情况（见下表）。</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2、“三公”经费的使用和管理情况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2023 全年“三公”经费预算 </w:t>
      </w:r>
      <w:r>
        <w:rPr>
          <w:rFonts w:hint="eastAsia" w:ascii="仿宋" w:hAnsi="仿宋" w:eastAsia="仿宋" w:cs="仿宋"/>
          <w:kern w:val="0"/>
          <w:sz w:val="32"/>
          <w:szCs w:val="32"/>
          <w:lang w:val="en-US" w:eastAsia="zh-CN"/>
        </w:rPr>
        <w:t>2.1</w:t>
      </w:r>
      <w:r>
        <w:rPr>
          <w:rFonts w:hint="eastAsia" w:ascii="仿宋" w:hAnsi="仿宋" w:eastAsia="仿宋" w:cs="仿宋"/>
          <w:kern w:val="0"/>
          <w:sz w:val="32"/>
          <w:szCs w:val="32"/>
        </w:rPr>
        <w:t xml:space="preserve"> 万元。2023 年“三公”经费实际支出 </w:t>
      </w:r>
      <w:r>
        <w:rPr>
          <w:rFonts w:hint="eastAsia" w:ascii="仿宋" w:hAnsi="仿宋" w:eastAsia="仿宋" w:cs="仿宋"/>
          <w:kern w:val="0"/>
          <w:sz w:val="32"/>
          <w:szCs w:val="32"/>
          <w:lang w:val="en-US" w:eastAsia="zh-CN"/>
        </w:rPr>
        <w:t>2.02</w:t>
      </w:r>
      <w:r>
        <w:rPr>
          <w:rFonts w:hint="eastAsia" w:ascii="仿宋" w:hAnsi="仿宋" w:eastAsia="仿宋" w:cs="仿宋"/>
          <w:kern w:val="0"/>
          <w:sz w:val="32"/>
          <w:szCs w:val="32"/>
        </w:rPr>
        <w:t>万元，其中，因公出国（境）费 0 万元，公务用车购置及运行费 0 万元，公务接待费 0 万元。</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（二）项目支出情况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1、项目资金（包括财政资金、自筹资金等）安排落实、</w:t>
      </w:r>
    </w:p>
    <w:p>
      <w:pPr>
        <w:spacing w:line="600" w:lineRule="exact"/>
        <w:rPr>
          <w:rFonts w:hint="eastAsia" w:ascii="仿宋" w:hAnsi="仿宋" w:eastAsia="仿宋" w:cs="仿宋"/>
          <w:kern w:val="0"/>
          <w:sz w:val="32"/>
          <w:szCs w:val="32"/>
        </w:rPr>
      </w:pPr>
      <w:r>
        <w:rPr>
          <w:rFonts w:hint="eastAsia" w:ascii="仿宋" w:hAnsi="仿宋" w:eastAsia="仿宋" w:cs="仿宋"/>
          <w:kern w:val="0"/>
          <w:sz w:val="32"/>
          <w:szCs w:val="32"/>
        </w:rPr>
        <w:t>总投入等情况分析。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2、项目资金实际使用情况分析：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2023 年度，我校项目支出合计为</w:t>
      </w:r>
      <w:r>
        <w:rPr>
          <w:rFonts w:hint="eastAsia" w:ascii="仿宋" w:hAnsi="仿宋" w:eastAsia="仿宋" w:cs="仿宋"/>
          <w:kern w:val="0"/>
          <w:sz w:val="32"/>
          <w:szCs w:val="32"/>
          <w:lang w:val="en-US" w:eastAsia="zh-CN"/>
        </w:rPr>
        <w:t>62.59</w:t>
      </w:r>
      <w:r>
        <w:rPr>
          <w:rFonts w:hint="eastAsia" w:ascii="仿宋" w:hAnsi="仿宋" w:eastAsia="仿宋" w:cs="仿宋"/>
          <w:kern w:val="0"/>
          <w:sz w:val="32"/>
          <w:szCs w:val="32"/>
        </w:rPr>
        <w:t xml:space="preserve"> 万元，其中本年项目资金已支付 </w:t>
      </w:r>
      <w:r>
        <w:rPr>
          <w:rFonts w:hint="eastAsia" w:ascii="仿宋" w:hAnsi="仿宋" w:eastAsia="仿宋" w:cs="仿宋"/>
          <w:kern w:val="0"/>
          <w:sz w:val="32"/>
          <w:szCs w:val="32"/>
          <w:lang w:val="en-US" w:eastAsia="zh-CN"/>
        </w:rPr>
        <w:t>41.03</w:t>
      </w:r>
      <w:r>
        <w:rPr>
          <w:rFonts w:hint="eastAsia" w:ascii="仿宋" w:hAnsi="仿宋" w:eastAsia="仿宋" w:cs="仿宋"/>
          <w:kern w:val="0"/>
          <w:sz w:val="32"/>
          <w:szCs w:val="32"/>
        </w:rPr>
        <w:t>万元，2023 年项目大部分已经完工和验收。</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3、项目资金管理情况分析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学校项目支出严格按照国家财经法规、预算资金管理办</w:t>
      </w:r>
    </w:p>
    <w:p>
      <w:pPr>
        <w:spacing w:line="600" w:lineRule="exact"/>
        <w:rPr>
          <w:rFonts w:hint="eastAsia" w:ascii="仿宋" w:hAnsi="仿宋" w:eastAsia="仿宋" w:cs="仿宋"/>
          <w:kern w:val="0"/>
          <w:sz w:val="32"/>
          <w:szCs w:val="32"/>
        </w:rPr>
      </w:pPr>
      <w:r>
        <w:rPr>
          <w:rFonts w:hint="eastAsia" w:ascii="仿宋" w:hAnsi="仿宋" w:eastAsia="仿宋" w:cs="仿宋"/>
          <w:kern w:val="0"/>
          <w:sz w:val="32"/>
          <w:szCs w:val="32"/>
        </w:rPr>
        <w:t>法、财务管理制度以及专项资金管理办法的`规定，围绕预算分配权、资金拨付权、行政审批权等关键环节和岗位加强监管工作，把项目资金的审批分配、监督检查与绩效评价结合起来，做到专款专用。遵循先预算、再审批、后支出的原则，确保了财政资金分配和财政审批程序合法，保证了项目资金的合理使用。在资金管理上强化责任意识，建立健全管理制度，落实配套资金，定期调度资金拨付情况，提高预算执行效率和资金使用效益，确保财政资金使用安全。</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三、政府性基金预算支出情况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无</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四、国有资本经营预算支出情况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无</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五、社会保险基金预算支出情况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无</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六、部门整体支出绩效情况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本部门本年度项目支出绩效总体良好，各项目标达到了相应时期执行进度，使财政收支预算执行都得了良好的制度保障和实施效果。经过一年努力，我校教学成绩斐然，学校安全大局稳定，没有出现重大安全事故。</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1、产出指标完成情况分析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（1）数量指标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2023 年转移支付已完成 </w:t>
      </w:r>
      <w:r>
        <w:rPr>
          <w:rFonts w:hint="eastAsia" w:ascii="仿宋" w:hAnsi="仿宋" w:eastAsia="仿宋" w:cs="仿宋"/>
          <w:kern w:val="0"/>
          <w:sz w:val="32"/>
          <w:szCs w:val="32"/>
          <w:lang w:val="en-US" w:eastAsia="zh-CN"/>
        </w:rPr>
        <w:t>17</w:t>
      </w:r>
      <w:r>
        <w:rPr>
          <w:rFonts w:hint="eastAsia" w:ascii="仿宋" w:hAnsi="仿宋" w:eastAsia="仿宋" w:cs="仿宋"/>
          <w:kern w:val="0"/>
          <w:sz w:val="32"/>
          <w:szCs w:val="32"/>
        </w:rPr>
        <w:t xml:space="preserve"> 万元的拨付工作；部门预算基本支出已完成</w:t>
      </w:r>
      <w:r>
        <w:rPr>
          <w:rFonts w:hint="eastAsia" w:ascii="仿宋" w:hAnsi="仿宋" w:eastAsia="仿宋" w:cs="仿宋"/>
          <w:kern w:val="0"/>
          <w:sz w:val="32"/>
          <w:szCs w:val="32"/>
          <w:lang w:val="en-US" w:eastAsia="zh-CN"/>
        </w:rPr>
        <w:t>620.42</w:t>
      </w:r>
      <w:r>
        <w:rPr>
          <w:rFonts w:hint="eastAsia" w:ascii="仿宋" w:hAnsi="仿宋" w:eastAsia="仿宋" w:cs="仿宋"/>
          <w:kern w:val="0"/>
          <w:sz w:val="32"/>
          <w:szCs w:val="32"/>
        </w:rPr>
        <w:t xml:space="preserve">万元的拨付工作；部门预算项目支出已完成 </w:t>
      </w:r>
      <w:r>
        <w:rPr>
          <w:rFonts w:hint="eastAsia" w:ascii="仿宋" w:hAnsi="仿宋" w:eastAsia="仿宋" w:cs="仿宋"/>
          <w:kern w:val="0"/>
          <w:sz w:val="32"/>
          <w:szCs w:val="32"/>
          <w:lang w:val="en-US" w:eastAsia="zh-CN"/>
        </w:rPr>
        <w:t>62.59</w:t>
      </w:r>
      <w:r>
        <w:rPr>
          <w:rFonts w:hint="eastAsia" w:ascii="仿宋" w:hAnsi="仿宋" w:eastAsia="仿宋" w:cs="仿宋"/>
          <w:kern w:val="0"/>
          <w:sz w:val="32"/>
          <w:szCs w:val="32"/>
        </w:rPr>
        <w:t xml:space="preserve"> 万元的拨付工作；纳入专户的非税收入已完成 </w:t>
      </w:r>
      <w:r>
        <w:rPr>
          <w:rFonts w:hint="eastAsia" w:ascii="仿宋" w:hAnsi="仿宋" w:eastAsia="仿宋" w:cs="仿宋"/>
          <w:kern w:val="0"/>
          <w:sz w:val="32"/>
          <w:szCs w:val="32"/>
          <w:lang w:val="en-US" w:eastAsia="zh-CN"/>
        </w:rPr>
        <w:t>62.29</w:t>
      </w:r>
      <w:r>
        <w:rPr>
          <w:rFonts w:hint="eastAsia" w:ascii="仿宋" w:hAnsi="仿宋" w:eastAsia="仿宋" w:cs="仿宋"/>
          <w:kern w:val="0"/>
          <w:sz w:val="32"/>
          <w:szCs w:val="32"/>
        </w:rPr>
        <w:t xml:space="preserve"> 万元的拨付工作。</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（2）质量指标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各基本支出和项目支出资金已通过财政拨款方式发放至预算单位，用于维持正常教育教学生活，资金及时的拨付，保质保量的完成了学校日常公用开支和项目建设。</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（3）时效指标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资金严格按照预算及实际情况时间节点发放至预算单位，预算支出实际完成时间与计划完成时间大致一致。</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（4）成本指标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无成本节约指标。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2、效益指标完成情况分析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（1）经济效益</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本部门支出绩效总体良好,圆满完成学校年度目标，单位年终绩效考核为优秀，保障了教师工资福利待遇。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（2）社会效益</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通过合理使用学校资金，改善教育教学条件，使义务教育学校健康发展，教学质量得以保证，教学成绩领跑全市，成绩斐然。</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（3）生态效益</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无生态效益指标。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（4）可持续影响</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学校基础设施建设、教学环境持续改善。</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3、满意度指标完成情况分析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通过 2023 年各项资金的合理使用，保障了学校正常运转、改善了学校教学环境、提高了广大师生满意度，满意度 100%。</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七、存在的问题及原因分析</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1、2023 年新入职的教师数量为</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人，因新入职教职工人数多且无法纳入到部门年初预算，造成学校经费缺乏，学校工作被动。</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八、下一步改进措施</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我单位今后在执行过程中，做到严格控制支出，合理安排经费，做到细化支出，确保绩效执行和年初设定的绩效相一致。做好项目实施的跟踪检查工作，采取定期与不定期相结合的方式对项目实施情况和经费使用情况进行跟踪检查，对能实现预期绩效目标的项目予以充分肯定；对进展缓慢，预期绩效目标较差的项目，及时进行协调并提出整改措施，确保项目实施工作正常运行，达到预期绩效目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九、绩效自评结果拟应用和公开情况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高度重视绩效评价结果的应用工作，积极探索和建立一套与预算管理相结合、多渠道应用评价结果的有效机制，着力提高绩效意识和财政资金使用效益。同时将部门整体支出绩效自评报告在单位门户网站上进行公开，广泛接受社会监督。</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其他需要说明的情况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无</w:t>
      </w:r>
    </w:p>
    <w:p>
      <w:pPr>
        <w:spacing w:line="600" w:lineRule="exact"/>
        <w:ind w:firstLine="640" w:firstLineChars="200"/>
        <w:jc w:val="right"/>
        <w:rPr>
          <w:rFonts w:hint="eastAsia" w:ascii="仿宋" w:hAnsi="仿宋" w:eastAsia="仿宋" w:cs="仿宋"/>
          <w:kern w:val="0"/>
          <w:sz w:val="32"/>
          <w:szCs w:val="32"/>
          <w:lang w:eastAsia="zh-CN"/>
        </w:rPr>
      </w:pPr>
      <w:r>
        <w:rPr>
          <w:rFonts w:hint="eastAsia" w:ascii="仿宋" w:hAnsi="仿宋" w:eastAsia="仿宋" w:cs="仿宋"/>
          <w:kern w:val="0"/>
          <w:sz w:val="32"/>
          <w:szCs w:val="32"/>
        </w:rPr>
        <w:t>江永县桃川镇</w:t>
      </w:r>
      <w:r>
        <w:rPr>
          <w:rFonts w:hint="eastAsia" w:ascii="仿宋" w:hAnsi="仿宋" w:eastAsia="仿宋" w:cs="仿宋"/>
          <w:kern w:val="0"/>
          <w:sz w:val="32"/>
          <w:szCs w:val="32"/>
          <w:lang w:eastAsia="zh-CN"/>
        </w:rPr>
        <w:t>上洞学校</w:t>
      </w:r>
    </w:p>
    <w:p>
      <w:pPr>
        <w:spacing w:line="600" w:lineRule="exact"/>
        <w:ind w:firstLine="640" w:firstLineChars="200"/>
        <w:jc w:val="right"/>
        <w:rPr>
          <w:rFonts w:hint="eastAsia" w:ascii="黑体" w:hAnsi="黑体" w:eastAsia="黑体"/>
          <w:kern w:val="0"/>
          <w:sz w:val="32"/>
          <w:szCs w:val="32"/>
        </w:rPr>
      </w:pPr>
      <w:r>
        <w:rPr>
          <w:rFonts w:hint="eastAsia" w:ascii="黑体" w:hAnsi="黑体" w:eastAsia="黑体"/>
          <w:kern w:val="0"/>
          <w:sz w:val="32"/>
          <w:szCs w:val="32"/>
        </w:rPr>
        <w:t xml:space="preserve">2024 年 3 月 </w:t>
      </w:r>
      <w:r>
        <w:rPr>
          <w:rFonts w:hint="eastAsia" w:ascii="黑体" w:hAnsi="黑体" w:eastAsia="黑体"/>
          <w:kern w:val="0"/>
          <w:sz w:val="32"/>
          <w:szCs w:val="32"/>
          <w:lang w:val="en-US" w:eastAsia="zh-CN"/>
        </w:rPr>
        <w:t>18</w:t>
      </w:r>
      <w:r>
        <w:rPr>
          <w:rFonts w:hint="eastAsia" w:ascii="黑体" w:hAnsi="黑体" w:eastAsia="黑体"/>
          <w:kern w:val="0"/>
          <w:sz w:val="32"/>
          <w:szCs w:val="32"/>
        </w:rPr>
        <w:t>日</w:t>
      </w:r>
    </w:p>
    <w:p>
      <w:pPr>
        <w:spacing w:line="600" w:lineRule="exact"/>
        <w:ind w:firstLine="640" w:firstLineChars="200"/>
        <w:rPr>
          <w:rFonts w:hint="eastAsia" w:ascii="黑体" w:hAnsi="黑体" w:eastAsia="黑体"/>
          <w:kern w:val="0"/>
          <w:sz w:val="32"/>
          <w:szCs w:val="32"/>
        </w:rPr>
      </w:pPr>
    </w:p>
    <w:p>
      <w:pPr>
        <w:spacing w:line="600" w:lineRule="exact"/>
        <w:ind w:firstLine="640" w:firstLineChars="200"/>
        <w:rPr>
          <w:rFonts w:hint="eastAsia" w:ascii="黑体" w:hAnsi="黑体" w:eastAsia="黑体"/>
          <w:kern w:val="0"/>
          <w:sz w:val="32"/>
          <w:szCs w:val="32"/>
        </w:rPr>
      </w:pPr>
    </w:p>
    <w:p/>
    <w:p/>
    <w:p/>
    <w:p/>
    <w:p>
      <w:pPr>
        <w:widowControl/>
        <w:spacing w:line="560" w:lineRule="exact"/>
        <w:jc w:val="center"/>
        <w:rPr>
          <w:rFonts w:hint="eastAsia" w:eastAsia="方正小标宋_GBK"/>
          <w:kern w:val="0"/>
          <w:sz w:val="36"/>
          <w:szCs w:val="36"/>
        </w:rPr>
      </w:pPr>
      <w:r>
        <w:rPr>
          <w:rFonts w:hint="eastAsia" w:eastAsia="方正小标宋_GBK"/>
          <w:kern w:val="0"/>
          <w:sz w:val="36"/>
          <w:szCs w:val="36"/>
        </w:rPr>
        <w:t>江永县</w:t>
      </w:r>
      <w:r>
        <w:rPr>
          <w:rFonts w:hint="eastAsia" w:eastAsia="方正小标宋_GBK"/>
          <w:kern w:val="0"/>
          <w:sz w:val="36"/>
          <w:szCs w:val="36"/>
          <w:lang w:eastAsia="zh-CN"/>
        </w:rPr>
        <w:t>桃川镇上洞学校</w:t>
      </w:r>
      <w:r>
        <w:rPr>
          <w:rFonts w:eastAsia="方正小标宋_GBK"/>
          <w:kern w:val="0"/>
          <w:sz w:val="36"/>
          <w:szCs w:val="36"/>
        </w:rPr>
        <w:t>部门整体支出绩效评价基础数据表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4"/>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49</w:t>
            </w: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49</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2.3</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2.1</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hint="eastAsia"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hint="eastAsia"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rPr>
            </w:pPr>
            <w:r>
              <w:rPr>
                <w:rFonts w:hint="eastAsia" w:eastAsia="仿宋_GB2312"/>
                <w:kern w:val="0"/>
                <w:szCs w:val="21"/>
              </w:rPr>
              <w:t>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2.3</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2.1</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30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36</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0</w:t>
            </w:r>
          </w:p>
        </w:tc>
        <w:tc>
          <w:tcPr>
            <w:tcW w:w="1832"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hint="eastAsia" w:eastAsia="仿宋_GB2312"/>
                <w:color w:val="FF0000"/>
                <w:kern w:val="0"/>
                <w:szCs w:val="21"/>
                <w:lang w:val="en-US" w:eastAsia="zh-CN"/>
              </w:rPr>
            </w:pPr>
            <w:r>
              <w:rPr>
                <w:rFonts w:hint="eastAsia" w:eastAsia="仿宋_GB2312"/>
                <w:color w:val="000000" w:themeColor="text1"/>
                <w:kern w:val="0"/>
                <w:szCs w:val="21"/>
                <w:lang w:val="en-US" w:eastAsia="zh-CN"/>
                <w14:textFill>
                  <w14:solidFill>
                    <w14:schemeClr w14:val="tx1"/>
                  </w14:solidFill>
                </w14:textFill>
              </w:rPr>
              <w:t>0</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62.59</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62.59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hint="eastAsia" w:eastAsia="仿宋_GB2312"/>
                <w:kern w:val="0"/>
                <w:szCs w:val="21"/>
                <w:lang w:eastAsia="zh-CN"/>
              </w:rPr>
            </w:pPr>
            <w:r>
              <w:rPr>
                <w:rFonts w:hint="eastAsia" w:eastAsia="仿宋_GB2312"/>
                <w:kern w:val="0"/>
                <w:szCs w:val="21"/>
                <w:lang w:eastAsia="zh-CN"/>
              </w:rPr>
              <w:t>教师事业发展经费</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62.59</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62.59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59.72</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60.64</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60.64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38.42</w:t>
            </w: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41.91</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41.91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8.12</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7.51</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1.18</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1.22</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12</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10</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rPr>
              <w:t>21</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12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c>
          <w:tcPr>
            <w:tcW w:w="1111"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96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863" w:type="dxa"/>
            <w:noWrap w:val="0"/>
            <w:vAlign w:val="center"/>
          </w:tcPr>
          <w:p>
            <w:pPr>
              <w:widowControl/>
              <w:jc w:val="left"/>
              <w:rPr>
                <w:rFonts w:hint="eastAsia" w:eastAsia="仿宋_GB2312"/>
                <w:kern w:val="0"/>
                <w:szCs w:val="21"/>
              </w:rPr>
            </w:pPr>
            <w:r>
              <w:rPr>
                <w:rFonts w:hint="eastAsia" w:eastAsia="仿宋_GB2312"/>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r>
        <w:rPr>
          <w:rFonts w:eastAsia="仿宋_GB2312"/>
          <w:kern w:val="0"/>
          <w:sz w:val="22"/>
        </w:rPr>
        <w:t>说明：“项目支出”需要填报基本支出以外的所有项目支出情况，“公用经费”填报基本支出中的一般商品和服务支出。</w:t>
      </w:r>
    </w:p>
    <w:p/>
    <w:p>
      <w:pPr>
        <w:spacing w:line="560" w:lineRule="exact"/>
        <w:jc w:val="center"/>
        <w:rPr>
          <w:rFonts w:eastAsia="方正小标宋_GBK"/>
          <w:color w:val="000000"/>
          <w:kern w:val="0"/>
          <w:sz w:val="36"/>
          <w:szCs w:val="36"/>
        </w:rPr>
      </w:pPr>
      <w:r>
        <w:rPr>
          <w:sz w:val="30"/>
          <w:szCs w:val="30"/>
        </w:rPr>
        <w:t xml:space="preserve"> </w:t>
      </w:r>
      <w:r>
        <w:rPr>
          <w:rFonts w:eastAsia="方正小标宋_GBK"/>
          <w:color w:val="000000"/>
          <w:kern w:val="0"/>
          <w:sz w:val="44"/>
          <w:szCs w:val="44"/>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4"/>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376"/>
        <w:gridCol w:w="1223"/>
        <w:gridCol w:w="1103"/>
        <w:gridCol w:w="204"/>
        <w:gridCol w:w="1073"/>
        <w:gridCol w:w="1217"/>
        <w:gridCol w:w="703"/>
        <w:gridCol w:w="95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60" w:type="dxa"/>
            <w:gridSpan w:val="9"/>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江永县桃川镇上洞学校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599" w:type="dxa"/>
            <w:gridSpan w:val="2"/>
            <w:noWrap w:val="0"/>
            <w:vAlign w:val="center"/>
          </w:tcPr>
          <w:p>
            <w:pPr>
              <w:jc w:val="center"/>
              <w:rPr>
                <w:rFonts w:eastAsia="仿宋_GB2312"/>
                <w:szCs w:val="21"/>
              </w:rPr>
            </w:pPr>
          </w:p>
        </w:tc>
        <w:tc>
          <w:tcPr>
            <w:tcW w:w="1103"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77" w:type="dxa"/>
            <w:gridSpan w:val="2"/>
            <w:noWrap w:val="0"/>
            <w:vAlign w:val="center"/>
          </w:tcPr>
          <w:p>
            <w:pPr>
              <w:jc w:val="center"/>
              <w:rPr>
                <w:rFonts w:eastAsia="仿宋_GB2312"/>
                <w:szCs w:val="21"/>
              </w:rPr>
            </w:pPr>
            <w:r>
              <w:rPr>
                <w:rFonts w:eastAsia="仿宋_GB2312"/>
                <w:szCs w:val="21"/>
              </w:rPr>
              <w:t>全年预算数</w:t>
            </w:r>
          </w:p>
        </w:tc>
        <w:tc>
          <w:tcPr>
            <w:tcW w:w="1217"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3" w:type="dxa"/>
            <w:noWrap w:val="0"/>
            <w:vAlign w:val="center"/>
          </w:tcPr>
          <w:p>
            <w:pPr>
              <w:jc w:val="center"/>
              <w:rPr>
                <w:rFonts w:eastAsia="仿宋_GB2312"/>
                <w:szCs w:val="21"/>
              </w:rPr>
            </w:pPr>
            <w:r>
              <w:rPr>
                <w:rFonts w:eastAsia="仿宋_GB2312"/>
                <w:szCs w:val="21"/>
              </w:rPr>
              <w:t>分值</w:t>
            </w:r>
          </w:p>
        </w:tc>
        <w:tc>
          <w:tcPr>
            <w:tcW w:w="951" w:type="dxa"/>
            <w:noWrap w:val="0"/>
            <w:vAlign w:val="center"/>
          </w:tcPr>
          <w:p>
            <w:pPr>
              <w:jc w:val="center"/>
              <w:rPr>
                <w:rFonts w:eastAsia="仿宋_GB2312"/>
                <w:szCs w:val="21"/>
              </w:rPr>
            </w:pPr>
            <w:r>
              <w:rPr>
                <w:rFonts w:eastAsia="仿宋_GB2312"/>
                <w:szCs w:val="21"/>
              </w:rPr>
              <w:t>执行率</w:t>
            </w:r>
          </w:p>
        </w:tc>
        <w:tc>
          <w:tcPr>
            <w:tcW w:w="1410"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center"/>
              <w:rPr>
                <w:rFonts w:eastAsia="仿宋_GB2312"/>
                <w:color w:val="000000"/>
                <w:kern w:val="0"/>
                <w:szCs w:val="21"/>
              </w:rPr>
            </w:pPr>
          </w:p>
        </w:tc>
        <w:tc>
          <w:tcPr>
            <w:tcW w:w="2599"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03" w:type="dxa"/>
            <w:noWrap w:val="0"/>
            <w:vAlign w:val="center"/>
          </w:tcPr>
          <w:p>
            <w:pPr>
              <w:jc w:val="center"/>
              <w:rPr>
                <w:rFonts w:hint="default" w:eastAsia="仿宋_GB2312"/>
                <w:szCs w:val="21"/>
                <w:lang w:val="en-US" w:eastAsia="zh-CN"/>
              </w:rPr>
            </w:pPr>
            <w:r>
              <w:rPr>
                <w:rFonts w:hint="eastAsia" w:eastAsia="仿宋_GB2312"/>
                <w:szCs w:val="21"/>
                <w:lang w:val="en-US" w:eastAsia="zh-CN"/>
              </w:rPr>
              <w:t>429.25</w:t>
            </w:r>
          </w:p>
        </w:tc>
        <w:tc>
          <w:tcPr>
            <w:tcW w:w="1277" w:type="dxa"/>
            <w:gridSpan w:val="2"/>
            <w:noWrap w:val="0"/>
            <w:vAlign w:val="center"/>
          </w:tcPr>
          <w:p>
            <w:pPr>
              <w:jc w:val="center"/>
              <w:rPr>
                <w:rFonts w:hint="default" w:eastAsia="仿宋_GB2312"/>
                <w:szCs w:val="21"/>
                <w:lang w:val="en-US" w:eastAsia="zh-CN"/>
              </w:rPr>
            </w:pPr>
            <w:r>
              <w:rPr>
                <w:rFonts w:hint="eastAsia" w:eastAsia="仿宋_GB2312"/>
                <w:szCs w:val="21"/>
                <w:lang w:val="en-US" w:eastAsia="zh-CN"/>
              </w:rPr>
              <w:t>683.01</w:t>
            </w:r>
          </w:p>
        </w:tc>
        <w:tc>
          <w:tcPr>
            <w:tcW w:w="1217" w:type="dxa"/>
            <w:noWrap w:val="0"/>
            <w:vAlign w:val="center"/>
          </w:tcPr>
          <w:p>
            <w:pPr>
              <w:jc w:val="center"/>
              <w:rPr>
                <w:rFonts w:hint="default" w:eastAsia="仿宋_GB2312"/>
                <w:szCs w:val="21"/>
                <w:lang w:val="en-US" w:eastAsia="zh-CN"/>
              </w:rPr>
            </w:pPr>
            <w:r>
              <w:rPr>
                <w:rFonts w:hint="eastAsia" w:eastAsia="仿宋_GB2312"/>
                <w:szCs w:val="21"/>
                <w:lang w:val="en-US" w:eastAsia="zh-CN"/>
              </w:rPr>
              <w:t>683.01</w:t>
            </w:r>
          </w:p>
        </w:tc>
        <w:tc>
          <w:tcPr>
            <w:tcW w:w="703" w:type="dxa"/>
            <w:noWrap w:val="0"/>
            <w:vAlign w:val="center"/>
          </w:tcPr>
          <w:p>
            <w:pPr>
              <w:jc w:val="center"/>
              <w:rPr>
                <w:rFonts w:eastAsia="仿宋_GB2312"/>
                <w:szCs w:val="21"/>
              </w:rPr>
            </w:pPr>
            <w:r>
              <w:rPr>
                <w:rFonts w:hint="eastAsia" w:eastAsia="仿宋_GB2312"/>
                <w:szCs w:val="21"/>
              </w:rPr>
              <w:t>10</w:t>
            </w:r>
          </w:p>
        </w:tc>
        <w:tc>
          <w:tcPr>
            <w:tcW w:w="951" w:type="dxa"/>
            <w:noWrap w:val="0"/>
            <w:vAlign w:val="center"/>
          </w:tcPr>
          <w:p>
            <w:pPr>
              <w:jc w:val="center"/>
              <w:rPr>
                <w:rFonts w:hint="eastAsia" w:eastAsia="仿宋_GB2312"/>
                <w:szCs w:val="21"/>
              </w:rPr>
            </w:pPr>
            <w:r>
              <w:rPr>
                <w:rFonts w:hint="eastAsia" w:eastAsia="仿宋_GB2312"/>
                <w:szCs w:val="21"/>
                <w:lang w:val="en-US" w:eastAsia="zh-CN"/>
              </w:rPr>
              <w:t>100</w:t>
            </w:r>
            <w:r>
              <w:rPr>
                <w:rFonts w:hint="eastAsia" w:eastAsia="仿宋_GB2312"/>
                <w:szCs w:val="21"/>
              </w:rPr>
              <w:t>%</w:t>
            </w:r>
          </w:p>
        </w:tc>
        <w:tc>
          <w:tcPr>
            <w:tcW w:w="1410" w:type="dxa"/>
            <w:noWrap w:val="0"/>
            <w:vAlign w:val="center"/>
          </w:tcPr>
          <w:p>
            <w:pPr>
              <w:jc w:val="center"/>
              <w:rPr>
                <w:rFonts w:hint="default" w:eastAsia="仿宋_GB2312"/>
                <w:szCs w:val="21"/>
                <w:lang w:val="en-US" w:eastAsia="zh-CN"/>
              </w:rPr>
            </w:pPr>
            <w:r>
              <w:rPr>
                <w:rFonts w:hint="eastAsia"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281"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683.01</w:t>
            </w:r>
          </w:p>
        </w:tc>
        <w:tc>
          <w:tcPr>
            <w:tcW w:w="4281"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rPr>
              <w:t>：</w:t>
            </w:r>
            <w:r>
              <w:rPr>
                <w:rFonts w:hint="eastAsia" w:eastAsia="仿宋_GB2312"/>
                <w:color w:val="000000"/>
                <w:kern w:val="0"/>
                <w:szCs w:val="21"/>
                <w:lang w:val="en-US" w:eastAsia="zh-CN"/>
              </w:rPr>
              <w:t>620.42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281"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62.59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hint="eastAsia" w:eastAsia="仿宋_GB2312"/>
                <w:color w:val="000000"/>
                <w:kern w:val="0"/>
                <w:szCs w:val="21"/>
              </w:rPr>
            </w:pPr>
            <w:r>
              <w:rPr>
                <w:rFonts w:eastAsia="仿宋_GB2312"/>
                <w:color w:val="000000"/>
                <w:kern w:val="0"/>
                <w:szCs w:val="21"/>
              </w:rPr>
              <w:t>纳入专户管理的非税收入拨款：</w:t>
            </w:r>
          </w:p>
        </w:tc>
        <w:tc>
          <w:tcPr>
            <w:tcW w:w="4281" w:type="dxa"/>
            <w:gridSpan w:val="4"/>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其他资金</w:t>
            </w:r>
            <w:r>
              <w:rPr>
                <w:rFonts w:hint="eastAsia" w:eastAsia="仿宋_GB2312"/>
                <w:color w:val="000000"/>
                <w:kern w:val="0"/>
                <w:szCs w:val="21"/>
              </w:rPr>
              <w:t>（上级项目资金）</w:t>
            </w:r>
            <w:r>
              <w:rPr>
                <w:rFonts w:eastAsia="仿宋_GB2312"/>
                <w:color w:val="000000"/>
                <w:kern w:val="0"/>
                <w:szCs w:val="21"/>
              </w:rPr>
              <w:t>：</w:t>
            </w:r>
          </w:p>
        </w:tc>
        <w:tc>
          <w:tcPr>
            <w:tcW w:w="4281" w:type="dxa"/>
            <w:gridSpan w:val="4"/>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jc w:val="center"/>
              <w:rPr>
                <w:rFonts w:eastAsia="仿宋_GB2312"/>
                <w:kern w:val="0"/>
                <w:szCs w:val="21"/>
              </w:rPr>
            </w:pPr>
            <w:r>
              <w:rPr>
                <w:rFonts w:eastAsia="仿宋_GB2312"/>
                <w:kern w:val="0"/>
                <w:szCs w:val="21"/>
              </w:rPr>
              <w:t>年度总体目标</w:t>
            </w:r>
          </w:p>
        </w:tc>
        <w:tc>
          <w:tcPr>
            <w:tcW w:w="4979" w:type="dxa"/>
            <w:gridSpan w:val="5"/>
            <w:noWrap w:val="0"/>
            <w:vAlign w:val="center"/>
          </w:tcPr>
          <w:p>
            <w:pPr>
              <w:widowControl/>
              <w:jc w:val="center"/>
              <w:rPr>
                <w:rFonts w:eastAsia="仿宋_GB2312"/>
                <w:kern w:val="0"/>
                <w:szCs w:val="21"/>
              </w:rPr>
            </w:pPr>
            <w:r>
              <w:rPr>
                <w:rFonts w:eastAsia="仿宋_GB2312"/>
                <w:kern w:val="0"/>
                <w:szCs w:val="21"/>
              </w:rPr>
              <w:t>预期目标</w:t>
            </w:r>
          </w:p>
        </w:tc>
        <w:tc>
          <w:tcPr>
            <w:tcW w:w="4281" w:type="dxa"/>
            <w:gridSpan w:val="4"/>
            <w:noWrap w:val="0"/>
            <w:vAlign w:val="center"/>
          </w:tcPr>
          <w:p>
            <w:pPr>
              <w:widowControl/>
              <w:jc w:val="center"/>
              <w:rPr>
                <w:rFonts w:eastAsia="仿宋_GB2312"/>
                <w:kern w:val="0"/>
                <w:szCs w:val="21"/>
              </w:rPr>
            </w:pPr>
            <w:r>
              <w:rPr>
                <w:rFonts w:eastAsia="仿宋_GB2312"/>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pPr>
              <w:widowControl/>
              <w:jc w:val="left"/>
              <w:rPr>
                <w:rFonts w:eastAsia="仿宋_GB2312"/>
                <w:kern w:val="0"/>
                <w:szCs w:val="21"/>
              </w:rPr>
            </w:pPr>
          </w:p>
        </w:tc>
        <w:tc>
          <w:tcPr>
            <w:tcW w:w="4979" w:type="dxa"/>
            <w:gridSpan w:val="5"/>
            <w:noWrap w:val="0"/>
            <w:vAlign w:val="center"/>
          </w:tcPr>
          <w:p>
            <w:pPr>
              <w:widowControl/>
              <w:rPr>
                <w:rFonts w:eastAsia="仿宋_GB2312"/>
                <w:kern w:val="0"/>
                <w:szCs w:val="21"/>
              </w:rPr>
            </w:pPr>
            <w:r>
              <w:rPr>
                <w:rFonts w:eastAsia="仿宋_GB2312"/>
                <w:kern w:val="0"/>
                <w:szCs w:val="21"/>
              </w:rPr>
              <w:t>　</w:t>
            </w:r>
            <w:r>
              <w:rPr>
                <w:rFonts w:hint="eastAsia" w:eastAsia="仿宋_GB2312"/>
                <w:kern w:val="0"/>
                <w:szCs w:val="21"/>
              </w:rPr>
              <w:t>按照国家政策法规规定和本单位实际情况，建立健全财务基础管理制度和约束机制，依法、有效地使用财政资金，提高财政资金使用效率，在完成单位职能目标中合理分配人、财、物，使之达到较高的工作效率和水平。</w:t>
            </w:r>
            <w:r>
              <w:rPr>
                <w:rFonts w:eastAsia="仿宋_GB2312"/>
                <w:kern w:val="0"/>
                <w:szCs w:val="21"/>
              </w:rPr>
              <w:t>　</w:t>
            </w:r>
          </w:p>
        </w:tc>
        <w:tc>
          <w:tcPr>
            <w:tcW w:w="4281" w:type="dxa"/>
            <w:gridSpan w:val="4"/>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绩效指标</w:t>
            </w:r>
          </w:p>
        </w:tc>
        <w:tc>
          <w:tcPr>
            <w:tcW w:w="1376"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一级指标</w:t>
            </w:r>
          </w:p>
        </w:tc>
        <w:tc>
          <w:tcPr>
            <w:tcW w:w="122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二级指标</w:t>
            </w:r>
          </w:p>
        </w:tc>
        <w:tc>
          <w:tcPr>
            <w:tcW w:w="1307"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三级指标</w:t>
            </w:r>
          </w:p>
        </w:tc>
        <w:tc>
          <w:tcPr>
            <w:tcW w:w="107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年度指标值</w:t>
            </w:r>
          </w:p>
        </w:tc>
        <w:tc>
          <w:tcPr>
            <w:tcW w:w="121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0"/>
                <w:szCs w:val="20"/>
                <w:u w:val="none"/>
                <w:lang w:val="en-US" w:eastAsia="zh-CN" w:bidi="ar"/>
              </w:rPr>
              <w:t>实际完成值</w:t>
            </w:r>
          </w:p>
        </w:tc>
        <w:tc>
          <w:tcPr>
            <w:tcW w:w="70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分值</w:t>
            </w:r>
          </w:p>
        </w:tc>
        <w:tc>
          <w:tcPr>
            <w:tcW w:w="95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得分</w:t>
            </w:r>
          </w:p>
        </w:tc>
        <w:tc>
          <w:tcPr>
            <w:tcW w:w="141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3"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绩效指标</w:t>
            </w:r>
          </w:p>
        </w:tc>
        <w:tc>
          <w:tcPr>
            <w:tcW w:w="1376"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产出指标</w:t>
            </w:r>
          </w:p>
        </w:tc>
        <w:tc>
          <w:tcPr>
            <w:tcW w:w="1223"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数量指标</w:t>
            </w: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lang w:eastAsia="zh-CN"/>
              </w:rPr>
            </w:pPr>
            <w:r>
              <w:rPr>
                <w:rFonts w:hint="eastAsia" w:ascii="仿宋" w:hAnsi="仿宋" w:eastAsia="仿宋" w:cs="仿宋"/>
                <w:i w:val="0"/>
                <w:iCs w:val="0"/>
                <w:color w:val="000000"/>
                <w:kern w:val="0"/>
                <w:sz w:val="20"/>
                <w:szCs w:val="20"/>
                <w:u w:val="none"/>
                <w:lang w:val="en-US" w:eastAsia="zh-CN" w:bidi="ar"/>
              </w:rPr>
              <w:t>考核数量</w:t>
            </w:r>
          </w:p>
        </w:tc>
        <w:tc>
          <w:tcPr>
            <w:tcW w:w="107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49人</w:t>
            </w:r>
          </w:p>
        </w:tc>
        <w:tc>
          <w:tcPr>
            <w:tcW w:w="1217"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49人</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vMerge w:val="continue"/>
            <w:noWrap w:val="0"/>
            <w:vAlign w:val="center"/>
          </w:tcPr>
          <w:p>
            <w:pPr>
              <w:rPr>
                <w:rFonts w:eastAsia="仿宋_GB2312"/>
                <w:color w:val="000000"/>
                <w:kern w:val="0"/>
                <w:szCs w:val="21"/>
              </w:rPr>
            </w:pP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lang w:eastAsia="zh-CN"/>
              </w:rPr>
            </w:pPr>
            <w:r>
              <w:rPr>
                <w:rFonts w:hint="eastAsia" w:ascii="仿宋" w:hAnsi="仿宋" w:eastAsia="仿宋" w:cs="仿宋"/>
                <w:i w:val="0"/>
                <w:iCs w:val="0"/>
                <w:color w:val="000000"/>
                <w:kern w:val="0"/>
                <w:sz w:val="20"/>
                <w:szCs w:val="20"/>
                <w:u w:val="none"/>
                <w:lang w:val="en-US" w:eastAsia="zh-CN" w:bidi="ar"/>
              </w:rPr>
              <w:t>教师培训次数</w:t>
            </w:r>
          </w:p>
        </w:tc>
        <w:tc>
          <w:tcPr>
            <w:tcW w:w="107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6次</w:t>
            </w:r>
          </w:p>
        </w:tc>
        <w:tc>
          <w:tcPr>
            <w:tcW w:w="1217"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6次</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vMerge w:val="continue"/>
            <w:noWrap w:val="0"/>
            <w:vAlign w:val="center"/>
          </w:tcPr>
          <w:p>
            <w:pPr>
              <w:rPr>
                <w:rFonts w:eastAsia="仿宋_GB2312"/>
                <w:color w:val="000000"/>
                <w:kern w:val="0"/>
                <w:szCs w:val="21"/>
              </w:rPr>
            </w:pP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lang w:eastAsia="zh-CN"/>
              </w:rPr>
            </w:pPr>
            <w:r>
              <w:rPr>
                <w:rFonts w:hint="eastAsia" w:ascii="仿宋" w:hAnsi="仿宋" w:eastAsia="仿宋" w:cs="仿宋"/>
                <w:i w:val="0"/>
                <w:iCs w:val="0"/>
                <w:color w:val="000000"/>
                <w:kern w:val="0"/>
                <w:sz w:val="20"/>
                <w:szCs w:val="20"/>
                <w:u w:val="none"/>
                <w:lang w:val="en-US" w:eastAsia="zh-CN" w:bidi="ar"/>
              </w:rPr>
              <w:t>学生招生人数</w:t>
            </w:r>
          </w:p>
        </w:tc>
        <w:tc>
          <w:tcPr>
            <w:tcW w:w="10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634人</w:t>
            </w:r>
          </w:p>
        </w:tc>
        <w:tc>
          <w:tcPr>
            <w:tcW w:w="1217"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634人</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vMerge w:val="continue"/>
            <w:noWrap w:val="0"/>
            <w:vAlign w:val="center"/>
          </w:tcPr>
          <w:p>
            <w:pPr>
              <w:rPr>
                <w:rFonts w:eastAsia="仿宋_GB2312"/>
                <w:color w:val="000000"/>
                <w:kern w:val="0"/>
                <w:szCs w:val="21"/>
              </w:rPr>
            </w:pP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贫困生资助人数</w:t>
            </w:r>
          </w:p>
        </w:tc>
        <w:tc>
          <w:tcPr>
            <w:tcW w:w="107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129人</w:t>
            </w:r>
          </w:p>
        </w:tc>
        <w:tc>
          <w:tcPr>
            <w:tcW w:w="1217"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129人</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质量指标</w:t>
            </w: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经费使用准确性</w:t>
            </w:r>
          </w:p>
        </w:tc>
        <w:tc>
          <w:tcPr>
            <w:tcW w:w="107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vMerge w:val="continue"/>
            <w:noWrap w:val="0"/>
            <w:vAlign w:val="center"/>
          </w:tcPr>
          <w:p>
            <w:pPr>
              <w:rPr>
                <w:rFonts w:eastAsia="仿宋_GB2312"/>
                <w:color w:val="000000"/>
                <w:kern w:val="0"/>
                <w:szCs w:val="21"/>
              </w:rPr>
            </w:pP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教师培训完成率</w:t>
            </w:r>
          </w:p>
        </w:tc>
        <w:tc>
          <w:tcPr>
            <w:tcW w:w="1073" w:type="dxa"/>
            <w:noWrap w:val="0"/>
            <w:vAlign w:val="center"/>
          </w:tcPr>
          <w:p>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noWrap w:val="0"/>
            <w:vAlign w:val="center"/>
          </w:tcPr>
          <w:p>
            <w:pPr>
              <w:keepNext w:val="0"/>
              <w:keepLines w:val="0"/>
              <w:widowControl/>
              <w:suppressLineNumbers w:val="0"/>
              <w:jc w:val="center"/>
              <w:textAlignment w:val="center"/>
              <w:rPr>
                <w:rFonts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noWrap w:val="0"/>
            <w:vAlign w:val="center"/>
          </w:tcPr>
          <w:p>
            <w:pPr>
              <w:keepNext w:val="0"/>
              <w:keepLines w:val="0"/>
              <w:widowControl/>
              <w:suppressLineNumbers w:val="0"/>
              <w:jc w:val="center"/>
              <w:textAlignment w:val="center"/>
              <w:rPr>
                <w:rFonts w:hint="default" w:eastAsia="仿宋_GB2312"/>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时效指标</w:t>
            </w: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资金使用及时率</w:t>
            </w:r>
          </w:p>
        </w:tc>
        <w:tc>
          <w:tcPr>
            <w:tcW w:w="10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3" w:type="dxa"/>
            <w:vMerge w:val="continue"/>
            <w:noWrap w:val="0"/>
            <w:vAlign w:val="center"/>
          </w:tcPr>
          <w:p>
            <w:pPr>
              <w:rPr>
                <w:rFonts w:eastAsia="仿宋_GB2312"/>
                <w:color w:val="000000"/>
                <w:kern w:val="0"/>
                <w:szCs w:val="21"/>
              </w:rPr>
            </w:pPr>
          </w:p>
        </w:tc>
        <w:tc>
          <w:tcPr>
            <w:tcW w:w="1376"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效益指标</w:t>
            </w: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经济效益指标</w:t>
            </w:r>
          </w:p>
        </w:tc>
        <w:tc>
          <w:tcPr>
            <w:tcW w:w="130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提高教师队伍生活质量</w:t>
            </w:r>
          </w:p>
        </w:tc>
        <w:tc>
          <w:tcPr>
            <w:tcW w:w="10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提高教师队伍生活质量</w:t>
            </w:r>
          </w:p>
        </w:tc>
        <w:tc>
          <w:tcPr>
            <w:tcW w:w="1217"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提高教师队伍生活质量</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951" w:type="dxa"/>
            <w:noWrap w:val="0"/>
            <w:vAlign w:val="center"/>
          </w:tcPr>
          <w:p>
            <w:pPr>
              <w:keepNext w:val="0"/>
              <w:keepLines w:val="0"/>
              <w:widowControl/>
              <w:suppressLineNumbers w:val="0"/>
              <w:jc w:val="left"/>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5</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社会效益指标</w:t>
            </w:r>
          </w:p>
        </w:tc>
        <w:tc>
          <w:tcPr>
            <w:tcW w:w="1307"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促进全校师生全面发展</w:t>
            </w:r>
          </w:p>
        </w:tc>
        <w:tc>
          <w:tcPr>
            <w:tcW w:w="10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促进全校师生全面发展</w:t>
            </w:r>
          </w:p>
        </w:tc>
        <w:tc>
          <w:tcPr>
            <w:tcW w:w="1217"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促进全校师生全面发展</w:t>
            </w:r>
          </w:p>
        </w:tc>
        <w:tc>
          <w:tcPr>
            <w:tcW w:w="70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生态效益指标</w:t>
            </w:r>
          </w:p>
        </w:tc>
        <w:tc>
          <w:tcPr>
            <w:tcW w:w="1307"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校园环境改善</w:t>
            </w:r>
          </w:p>
        </w:tc>
        <w:tc>
          <w:tcPr>
            <w:tcW w:w="10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校园环境改善</w:t>
            </w:r>
          </w:p>
        </w:tc>
        <w:tc>
          <w:tcPr>
            <w:tcW w:w="1217"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校园环境改善</w:t>
            </w:r>
          </w:p>
        </w:tc>
        <w:tc>
          <w:tcPr>
            <w:tcW w:w="703" w:type="dxa"/>
            <w:noWrap w:val="0"/>
            <w:vAlign w:val="center"/>
          </w:tcPr>
          <w:p>
            <w:pPr>
              <w:keepNext w:val="0"/>
              <w:keepLines w:val="0"/>
              <w:widowControl/>
              <w:suppressLineNumbers w:val="0"/>
              <w:jc w:val="center"/>
              <w:textAlignment w:val="center"/>
              <w:rPr>
                <w:rFonts w:hint="default"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eastAsia" w:eastAsia="仿宋_GB2312"/>
                <w:color w:val="000000"/>
                <w:kern w:val="0"/>
                <w:sz w:val="15"/>
                <w:szCs w:val="15"/>
                <w:lang w:val="en-US" w:eastAsia="zh-CN"/>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可持续影响指标</w:t>
            </w:r>
          </w:p>
        </w:tc>
        <w:tc>
          <w:tcPr>
            <w:tcW w:w="1307" w:type="dxa"/>
            <w:gridSpan w:val="2"/>
            <w:noWrap w:val="0"/>
            <w:vAlign w:val="center"/>
          </w:tcPr>
          <w:p>
            <w:pPr>
              <w:jc w:val="center"/>
              <w:rPr>
                <w:rFonts w:hint="eastAsia" w:ascii="仿宋" w:hAnsi="仿宋" w:eastAsia="仿宋" w:cs="仿宋"/>
                <w:i w:val="0"/>
                <w:iCs w:val="0"/>
                <w:color w:val="000000"/>
                <w:kern w:val="0"/>
                <w:sz w:val="20"/>
                <w:szCs w:val="20"/>
                <w:u w:val="none"/>
                <w:lang w:val="en-US" w:eastAsia="zh-CN" w:bidi="ar"/>
              </w:rPr>
            </w:pPr>
          </w:p>
        </w:tc>
        <w:tc>
          <w:tcPr>
            <w:tcW w:w="1073"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1217"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703"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951" w:type="dxa"/>
            <w:noWrap w:val="0"/>
            <w:vAlign w:val="center"/>
          </w:tcPr>
          <w:p>
            <w:pPr>
              <w:rPr>
                <w:rFonts w:hint="default" w:ascii="仿宋_GB2312" w:hAnsi="宋体" w:eastAsia="仿宋_GB2312" w:cs="仿宋_GB2312"/>
                <w:i w:val="0"/>
                <w:iCs w:val="0"/>
                <w:color w:val="000000"/>
                <w:kern w:val="0"/>
                <w:sz w:val="20"/>
                <w:szCs w:val="20"/>
                <w:u w:val="none"/>
                <w:lang w:val="en-US" w:eastAsia="zh-CN" w:bidi="ar"/>
              </w:rPr>
            </w:pP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满意度指标</w:t>
            </w: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1307"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家长满意度</w:t>
            </w:r>
          </w:p>
        </w:tc>
        <w:tc>
          <w:tcPr>
            <w:tcW w:w="1073"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&gt;95%</w:t>
            </w:r>
          </w:p>
        </w:tc>
        <w:tc>
          <w:tcPr>
            <w:tcW w:w="121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98%</w:t>
            </w:r>
          </w:p>
        </w:tc>
        <w:tc>
          <w:tcPr>
            <w:tcW w:w="703"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成本指标</w:t>
            </w:r>
          </w:p>
        </w:tc>
        <w:tc>
          <w:tcPr>
            <w:tcW w:w="1223" w:type="dxa"/>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经济成本指标</w:t>
            </w:r>
          </w:p>
        </w:tc>
        <w:tc>
          <w:tcPr>
            <w:tcW w:w="1307"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基本支出成本</w:t>
            </w:r>
          </w:p>
        </w:tc>
        <w:tc>
          <w:tcPr>
            <w:tcW w:w="1073"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620.42</w:t>
            </w:r>
          </w:p>
        </w:tc>
        <w:tc>
          <w:tcPr>
            <w:tcW w:w="121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620.42</w:t>
            </w:r>
          </w:p>
        </w:tc>
        <w:tc>
          <w:tcPr>
            <w:tcW w:w="703"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vMerge w:val="continue"/>
            <w:noWrap w:val="0"/>
            <w:vAlign w:val="center"/>
          </w:tcPr>
          <w:p>
            <w:pPr>
              <w:rPr>
                <w:rFonts w:eastAsia="仿宋_GB2312"/>
                <w:color w:val="000000"/>
                <w:kern w:val="0"/>
                <w:szCs w:val="21"/>
              </w:rPr>
            </w:pPr>
          </w:p>
        </w:tc>
        <w:tc>
          <w:tcPr>
            <w:tcW w:w="1307"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项目支出成本</w:t>
            </w:r>
          </w:p>
        </w:tc>
        <w:tc>
          <w:tcPr>
            <w:tcW w:w="1073"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62.59</w:t>
            </w:r>
          </w:p>
        </w:tc>
        <w:tc>
          <w:tcPr>
            <w:tcW w:w="121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62.59</w:t>
            </w:r>
          </w:p>
        </w:tc>
        <w:tc>
          <w:tcPr>
            <w:tcW w:w="703"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社会成本指标</w:t>
            </w:r>
          </w:p>
        </w:tc>
        <w:tc>
          <w:tcPr>
            <w:tcW w:w="1307" w:type="dxa"/>
            <w:gridSpan w:val="2"/>
            <w:noWrap w:val="0"/>
            <w:vAlign w:val="center"/>
          </w:tcPr>
          <w:p>
            <w:pPr>
              <w:jc w:val="center"/>
              <w:rPr>
                <w:rFonts w:hint="eastAsia" w:ascii="仿宋" w:hAnsi="仿宋" w:eastAsia="仿宋" w:cs="仿宋"/>
                <w:i w:val="0"/>
                <w:iCs w:val="0"/>
                <w:color w:val="000000"/>
                <w:kern w:val="0"/>
                <w:sz w:val="20"/>
                <w:szCs w:val="20"/>
                <w:u w:val="none"/>
                <w:lang w:val="en-US" w:eastAsia="zh-CN" w:bidi="ar"/>
              </w:rPr>
            </w:pPr>
          </w:p>
        </w:tc>
        <w:tc>
          <w:tcPr>
            <w:tcW w:w="1073"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1217"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703"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951" w:type="dxa"/>
            <w:noWrap w:val="0"/>
            <w:vAlign w:val="center"/>
          </w:tcPr>
          <w:p>
            <w:pPr>
              <w:rPr>
                <w:rFonts w:hint="default" w:ascii="仿宋_GB2312" w:hAnsi="宋体" w:eastAsia="仿宋_GB2312" w:cs="仿宋_GB2312"/>
                <w:i w:val="0"/>
                <w:iCs w:val="0"/>
                <w:color w:val="000000"/>
                <w:kern w:val="0"/>
                <w:sz w:val="20"/>
                <w:szCs w:val="20"/>
                <w:u w:val="none"/>
                <w:lang w:val="en-US" w:eastAsia="zh-CN" w:bidi="ar"/>
              </w:rPr>
            </w:pP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rPr>
                <w:rFonts w:eastAsia="仿宋_GB2312"/>
                <w:color w:val="000000"/>
                <w:kern w:val="0"/>
                <w:szCs w:val="21"/>
              </w:rPr>
            </w:pPr>
          </w:p>
        </w:tc>
        <w:tc>
          <w:tcPr>
            <w:tcW w:w="1376" w:type="dxa"/>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生态环境成本指标</w:t>
            </w:r>
          </w:p>
        </w:tc>
        <w:tc>
          <w:tcPr>
            <w:tcW w:w="1307" w:type="dxa"/>
            <w:gridSpan w:val="2"/>
            <w:noWrap w:val="0"/>
            <w:vAlign w:val="center"/>
          </w:tcPr>
          <w:p>
            <w:pPr>
              <w:jc w:val="center"/>
              <w:rPr>
                <w:rFonts w:hint="eastAsia" w:ascii="仿宋" w:hAnsi="仿宋" w:eastAsia="仿宋" w:cs="仿宋"/>
                <w:i w:val="0"/>
                <w:iCs w:val="0"/>
                <w:color w:val="000000"/>
                <w:kern w:val="0"/>
                <w:sz w:val="20"/>
                <w:szCs w:val="20"/>
                <w:u w:val="none"/>
                <w:lang w:val="en-US" w:eastAsia="zh-CN" w:bidi="ar"/>
              </w:rPr>
            </w:pPr>
          </w:p>
        </w:tc>
        <w:tc>
          <w:tcPr>
            <w:tcW w:w="1073"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1217"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703" w:type="dxa"/>
            <w:noWrap w:val="0"/>
            <w:vAlign w:val="center"/>
          </w:tcPr>
          <w:p>
            <w:pPr>
              <w:jc w:val="center"/>
              <w:rPr>
                <w:rFonts w:hint="default" w:ascii="仿宋_GB2312" w:hAnsi="宋体" w:eastAsia="仿宋_GB2312" w:cs="仿宋_GB2312"/>
                <w:i w:val="0"/>
                <w:iCs w:val="0"/>
                <w:color w:val="000000"/>
                <w:kern w:val="0"/>
                <w:sz w:val="20"/>
                <w:szCs w:val="20"/>
                <w:u w:val="none"/>
                <w:lang w:val="en-US" w:eastAsia="zh-CN" w:bidi="ar"/>
              </w:rPr>
            </w:pPr>
          </w:p>
        </w:tc>
        <w:tc>
          <w:tcPr>
            <w:tcW w:w="951" w:type="dxa"/>
            <w:noWrap w:val="0"/>
            <w:vAlign w:val="center"/>
          </w:tcPr>
          <w:p>
            <w:pPr>
              <w:rPr>
                <w:rFonts w:hint="default" w:ascii="仿宋_GB2312" w:hAnsi="宋体" w:eastAsia="仿宋_GB2312" w:cs="仿宋_GB2312"/>
                <w:i w:val="0"/>
                <w:iCs w:val="0"/>
                <w:color w:val="000000"/>
                <w:kern w:val="0"/>
                <w:sz w:val="20"/>
                <w:szCs w:val="20"/>
                <w:u w:val="none"/>
                <w:lang w:val="en-US" w:eastAsia="zh-CN" w:bidi="ar"/>
              </w:rPr>
            </w:pP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59"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3"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51"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41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left"/>
        <w:rPr>
          <w:rFonts w:hint="eastAsia" w:eastAsia="黑体"/>
          <w:sz w:val="32"/>
          <w:szCs w:val="32"/>
        </w:rPr>
      </w:pPr>
    </w:p>
    <w:p>
      <w:pPr>
        <w:widowControl/>
        <w:jc w:val="center"/>
        <w:rPr>
          <w:rFonts w:hint="eastAsia" w:eastAsia="方正小标宋_GBK"/>
          <w:color w:val="000000"/>
          <w:kern w:val="0"/>
          <w:sz w:val="36"/>
          <w:szCs w:val="36"/>
        </w:rPr>
      </w:pPr>
    </w:p>
    <w:p>
      <w:pPr>
        <w:widowControl/>
        <w:jc w:val="center"/>
        <w:rPr>
          <w:rFonts w:hint="eastAsia" w:eastAsia="方正小标宋_GBK"/>
          <w:color w:val="000000"/>
          <w:kern w:val="0"/>
          <w:sz w:val="36"/>
          <w:szCs w:val="36"/>
        </w:rPr>
      </w:pPr>
    </w:p>
    <w:p/>
    <w:p/>
    <w:p/>
    <w:p/>
    <w:p/>
    <w:p/>
    <w:p/>
    <w:p/>
    <w:p/>
    <w:p/>
    <w:p/>
    <w:p/>
    <w:p/>
    <w:p/>
    <w:p/>
    <w:p/>
    <w:p/>
    <w:p/>
    <w:p/>
    <w:p>
      <w:pPr>
        <w:widowControl/>
        <w:jc w:val="center"/>
        <w:rPr>
          <w:rFonts w:hint="eastAsia"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桃川镇上洞学校</w:t>
      </w:r>
      <w:r>
        <w:rPr>
          <w:rFonts w:ascii="黑体" w:hAnsi="黑体" w:eastAsia="黑体"/>
          <w:kern w:val="0"/>
          <w:sz w:val="44"/>
          <w:szCs w:val="44"/>
        </w:rPr>
        <w:t>部门整体支出绩效评价表</w:t>
      </w:r>
    </w:p>
    <w:tbl>
      <w:tblPr>
        <w:tblStyle w:val="4"/>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r>
              <w:rPr>
                <w:rFonts w:eastAsia="仿宋_GB2312"/>
                <w:kern w:val="0"/>
                <w:sz w:val="20"/>
                <w:szCs w:val="20"/>
              </w:rPr>
              <w:br w:type="textWrapping"/>
            </w: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0"/>
            <w:vAlign w:val="center"/>
          </w:tcPr>
          <w:p>
            <w:pPr>
              <w:widowControl/>
              <w:jc w:val="left"/>
              <w:rPr>
                <w:rFonts w:hint="eastAsia"/>
                <w:color w:val="000000"/>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r>
              <w:rPr>
                <w:rFonts w:eastAsia="仿宋_GB2312"/>
                <w:kern w:val="0"/>
                <w:sz w:val="20"/>
                <w:szCs w:val="20"/>
              </w:rPr>
              <w:br w:type="textWrapping"/>
            </w: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color w:val="000000"/>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rFonts w:hint="eastAsia"/>
                <w:kern w:val="0"/>
                <w:sz w:val="24"/>
              </w:rPr>
              <w:t>5</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r>
              <w:rPr>
                <w:rFonts w:eastAsia="仿宋_GB2312"/>
                <w:kern w:val="0"/>
                <w:sz w:val="20"/>
                <w:szCs w:val="20"/>
              </w:rPr>
              <w:br w:type="textWrapping"/>
            </w: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r>
              <w:rPr>
                <w:rFonts w:eastAsia="仿宋_GB2312"/>
                <w:kern w:val="0"/>
                <w:sz w:val="20"/>
                <w:szCs w:val="20"/>
              </w:rPr>
              <w:br w:type="textWrapping"/>
            </w: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ascii="宋体" w:hAnsi="宋体"/>
                <w:color w:val="000000"/>
                <w:kern w:val="0"/>
                <w:sz w:val="24"/>
              </w:rPr>
            </w:pPr>
            <w:r>
              <w:rPr>
                <w:rFonts w:hint="eastAsia" w:ascii="宋体" w:hAnsi="宋体"/>
                <w:color w:val="000000"/>
                <w:kern w:val="0"/>
                <w:sz w:val="24"/>
              </w:rPr>
              <w:t>98</w:t>
            </w:r>
          </w:p>
        </w:tc>
      </w:tr>
    </w:tbl>
    <w:p/>
    <w:p/>
    <w:p/>
    <w:p/>
    <w:p/>
    <w:p/>
    <w:p/>
    <w:p/>
    <w:p/>
    <w:p/>
    <w:p/>
    <w:p/>
    <w:p/>
    <w:p/>
    <w:p/>
    <w:p/>
    <w:p/>
    <w:p/>
    <w:p/>
    <w:p/>
    <w:p/>
    <w:p/>
    <w:p/>
    <w:p/>
    <w:p/>
    <w:p/>
    <w:p/>
    <w:p/>
    <w:p/>
    <w:p/>
    <w:p/>
    <w:p/>
    <w:p/>
    <w:p/>
    <w:p/>
    <w:p/>
    <w:p/>
    <w:p/>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教师事业发展</w:t>
      </w:r>
      <w:r>
        <w:rPr>
          <w:rFonts w:hint="eastAsia" w:ascii="方正小标宋_GBK" w:hAnsi="方正小标宋_GBK" w:eastAsia="方正小标宋_GBK" w:cs="方正小标宋_GBK"/>
          <w:sz w:val="44"/>
          <w:szCs w:val="44"/>
        </w:rPr>
        <w:t>专项资金</w:t>
      </w: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2023年度绩效自评报告</w:t>
      </w:r>
    </w:p>
    <w:p>
      <w:pPr>
        <w:spacing w:line="560" w:lineRule="exact"/>
        <w:ind w:firstLine="640" w:firstLineChars="200"/>
        <w:rPr>
          <w:rFonts w:hint="eastAsia" w:ascii="黑体" w:hAnsi="黑体" w:eastAsia="黑体" w:cs="黑体"/>
          <w:bCs/>
          <w:sz w:val="32"/>
          <w:szCs w:val="32"/>
        </w:rPr>
      </w:pP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一、项目概况</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eastAsia="zh-CN"/>
        </w:rPr>
        <w:t>江永县</w:t>
      </w:r>
      <w:r>
        <w:rPr>
          <w:rFonts w:hint="eastAsia" w:ascii="仿宋" w:hAnsi="仿宋" w:eastAsia="仿宋" w:cs="仿宋"/>
          <w:kern w:val="0"/>
          <w:sz w:val="32"/>
          <w:szCs w:val="32"/>
        </w:rPr>
        <w:t>桃川镇</w:t>
      </w:r>
      <w:r>
        <w:rPr>
          <w:rFonts w:hint="eastAsia" w:ascii="仿宋" w:hAnsi="仿宋" w:eastAsia="仿宋" w:cs="仿宋"/>
          <w:kern w:val="0"/>
          <w:sz w:val="32"/>
          <w:szCs w:val="32"/>
          <w:lang w:eastAsia="zh-CN"/>
        </w:rPr>
        <w:t>上洞学校</w:t>
      </w:r>
      <w:r>
        <w:rPr>
          <w:rFonts w:hint="eastAsia" w:ascii="仿宋" w:hAnsi="仿宋" w:eastAsia="仿宋" w:cs="仿宋"/>
          <w:kern w:val="0"/>
          <w:sz w:val="32"/>
          <w:szCs w:val="32"/>
        </w:rPr>
        <w:t>位于美丽富饶的江永县桃川镇，下辖 1所</w:t>
      </w:r>
      <w:r>
        <w:rPr>
          <w:rFonts w:hint="eastAsia" w:ascii="仿宋" w:hAnsi="仿宋" w:eastAsia="仿宋" w:cs="仿宋"/>
          <w:kern w:val="0"/>
          <w:sz w:val="32"/>
          <w:szCs w:val="32"/>
          <w:lang w:eastAsia="zh-CN"/>
        </w:rPr>
        <w:t>九年一贯制学校</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 xml:space="preserve"> 所村小教学点。一所中心校:桃川镇</w:t>
      </w:r>
      <w:r>
        <w:rPr>
          <w:rFonts w:hint="eastAsia" w:ascii="仿宋" w:hAnsi="仿宋" w:eastAsia="仿宋" w:cs="仿宋"/>
          <w:kern w:val="0"/>
          <w:sz w:val="32"/>
          <w:szCs w:val="32"/>
          <w:lang w:eastAsia="zh-CN"/>
        </w:rPr>
        <w:t>上洞学</w:t>
      </w:r>
      <w:r>
        <w:rPr>
          <w:rFonts w:hint="eastAsia" w:ascii="仿宋" w:hAnsi="仿宋" w:eastAsia="仿宋" w:cs="仿宋"/>
          <w:kern w:val="0"/>
          <w:sz w:val="32"/>
          <w:szCs w:val="32"/>
        </w:rPr>
        <w:t>校;</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所村小教学点:</w:t>
      </w:r>
      <w:r>
        <w:rPr>
          <w:rFonts w:hint="eastAsia" w:ascii="仿宋" w:hAnsi="仿宋" w:eastAsia="仿宋" w:cs="仿宋"/>
          <w:kern w:val="0"/>
          <w:sz w:val="32"/>
          <w:szCs w:val="32"/>
          <w:lang w:eastAsia="zh-CN"/>
        </w:rPr>
        <w:t>锦堂</w:t>
      </w:r>
      <w:r>
        <w:rPr>
          <w:rFonts w:hint="eastAsia" w:ascii="仿宋" w:hAnsi="仿宋" w:eastAsia="仿宋" w:cs="仿宋"/>
          <w:kern w:val="0"/>
          <w:sz w:val="32"/>
          <w:szCs w:val="32"/>
        </w:rPr>
        <w:t>小学、</w:t>
      </w:r>
      <w:r>
        <w:rPr>
          <w:rFonts w:hint="eastAsia" w:ascii="仿宋" w:hAnsi="仿宋" w:eastAsia="仿宋" w:cs="仿宋"/>
          <w:kern w:val="0"/>
          <w:sz w:val="32"/>
          <w:szCs w:val="32"/>
          <w:lang w:eastAsia="zh-CN"/>
        </w:rPr>
        <w:t>朝阳</w:t>
      </w:r>
      <w:r>
        <w:rPr>
          <w:rFonts w:hint="eastAsia" w:ascii="仿宋" w:hAnsi="仿宋" w:eastAsia="仿宋" w:cs="仿宋"/>
          <w:kern w:val="0"/>
          <w:sz w:val="32"/>
          <w:szCs w:val="32"/>
        </w:rPr>
        <w:t>小学。所辖学校在校学生</w:t>
      </w:r>
      <w:r>
        <w:rPr>
          <w:rFonts w:hint="eastAsia" w:ascii="仿宋" w:hAnsi="仿宋" w:eastAsia="仿宋" w:cs="仿宋"/>
          <w:kern w:val="0"/>
          <w:sz w:val="32"/>
          <w:szCs w:val="32"/>
          <w:lang w:val="en-US" w:eastAsia="zh-CN"/>
        </w:rPr>
        <w:t>634</w:t>
      </w:r>
      <w:r>
        <w:rPr>
          <w:rFonts w:hint="eastAsia" w:ascii="仿宋" w:hAnsi="仿宋" w:eastAsia="仿宋" w:cs="仿宋"/>
          <w:kern w:val="0"/>
          <w:sz w:val="32"/>
          <w:szCs w:val="32"/>
        </w:rPr>
        <w:t xml:space="preserve">人，共有班级 </w:t>
      </w:r>
      <w:r>
        <w:rPr>
          <w:rFonts w:hint="eastAsia" w:ascii="仿宋" w:hAnsi="仿宋" w:eastAsia="仿宋" w:cs="仿宋"/>
          <w:kern w:val="0"/>
          <w:sz w:val="32"/>
          <w:szCs w:val="32"/>
          <w:lang w:val="en-US" w:eastAsia="zh-CN"/>
        </w:rPr>
        <w:t>21</w:t>
      </w:r>
      <w:r>
        <w:rPr>
          <w:rFonts w:hint="eastAsia" w:ascii="仿宋" w:hAnsi="仿宋" w:eastAsia="仿宋" w:cs="仿宋"/>
          <w:kern w:val="0"/>
          <w:sz w:val="32"/>
          <w:szCs w:val="32"/>
        </w:rPr>
        <w:t xml:space="preserve"> 个，班级学生数都在 45 人以内。</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学校现有在编干部职工 </w:t>
      </w:r>
      <w:r>
        <w:rPr>
          <w:rFonts w:hint="eastAsia" w:ascii="仿宋" w:hAnsi="仿宋" w:eastAsia="仿宋" w:cs="仿宋"/>
          <w:kern w:val="0"/>
          <w:sz w:val="32"/>
          <w:szCs w:val="32"/>
          <w:lang w:val="en-US" w:eastAsia="zh-CN"/>
        </w:rPr>
        <w:t>49</w:t>
      </w:r>
      <w:r>
        <w:rPr>
          <w:rFonts w:hint="eastAsia" w:ascii="仿宋" w:hAnsi="仿宋" w:eastAsia="仿宋" w:cs="仿宋"/>
          <w:kern w:val="0"/>
          <w:sz w:val="32"/>
          <w:szCs w:val="32"/>
        </w:rPr>
        <w:t xml:space="preserve"> 人，其中特岗 </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 xml:space="preserve"> 人；退休教师 </w:t>
      </w:r>
      <w:r>
        <w:rPr>
          <w:rFonts w:hint="eastAsia" w:ascii="仿宋" w:hAnsi="仿宋" w:eastAsia="仿宋" w:cs="仿宋"/>
          <w:kern w:val="0"/>
          <w:sz w:val="32"/>
          <w:szCs w:val="32"/>
          <w:lang w:val="en-US" w:eastAsia="zh-CN"/>
        </w:rPr>
        <w:t>16</w:t>
      </w:r>
      <w:r>
        <w:rPr>
          <w:rFonts w:hint="eastAsia" w:ascii="仿宋" w:hAnsi="仿宋" w:eastAsia="仿宋" w:cs="仿宋"/>
          <w:kern w:val="0"/>
          <w:sz w:val="32"/>
          <w:szCs w:val="32"/>
        </w:rPr>
        <w:t xml:space="preserve"> 人。</w:t>
      </w:r>
    </w:p>
    <w:p>
      <w:pPr>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sz w:val="32"/>
          <w:szCs w:val="32"/>
          <w:lang w:eastAsia="zh-CN"/>
        </w:rPr>
        <w:t>教师事业发展</w:t>
      </w:r>
      <w:r>
        <w:rPr>
          <w:rFonts w:hint="eastAsia" w:ascii="仿宋" w:hAnsi="仿宋" w:eastAsia="仿宋" w:cs="仿宋"/>
          <w:sz w:val="32"/>
          <w:szCs w:val="32"/>
        </w:rPr>
        <w:t>专项资金</w:t>
      </w:r>
      <w:r>
        <w:rPr>
          <w:rFonts w:hint="eastAsia" w:ascii="仿宋" w:hAnsi="仿宋" w:eastAsia="仿宋" w:cs="仿宋"/>
          <w:kern w:val="0"/>
          <w:sz w:val="32"/>
          <w:szCs w:val="32"/>
        </w:rPr>
        <w:t>支出绩效目标：</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目标 1：学校以习近平新时代中国特色社会主义思想为指导坚持立德树人、依法办学，积极推进素质教育。</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目标 2：加强学校校园安全建设，杜绝各类安全事故；</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目标 3：后勤教职工保障好学校的服务工作，保障学生在学习过程中接触良好的教学设施设备、享有良好的学习环境、拥有良好的吃住行条件；</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绩效目标 4：教学质量和办学水平全面提升，办好人民满意教育，认真落实《教育规划纲要》，全面提高教育教学质量，稳步提高教学质量，办位列全县名列前茅的优质教育。</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（二）项目基本情况</w:t>
      </w:r>
    </w:p>
    <w:p>
      <w:pPr>
        <w:spacing w:line="560" w:lineRule="exact"/>
        <w:ind w:firstLine="640" w:firstLineChars="200"/>
        <w:rPr>
          <w:rFonts w:hint="eastAsia" w:ascii="仿宋" w:hAnsi="仿宋" w:eastAsia="仿宋" w:cs="Arial"/>
          <w:color w:val="000000"/>
          <w:sz w:val="32"/>
          <w:szCs w:val="32"/>
        </w:rPr>
      </w:pPr>
      <w:r>
        <w:rPr>
          <w:rFonts w:hint="eastAsia" w:ascii="仿宋_GB2312" w:hAnsi="仿宋_GB2312" w:eastAsia="仿宋_GB2312" w:cs="仿宋_GB2312"/>
          <w:bCs/>
          <w:sz w:val="32"/>
          <w:szCs w:val="32"/>
        </w:rPr>
        <w:t>2023年我</w:t>
      </w:r>
      <w:r>
        <w:rPr>
          <w:rFonts w:hint="eastAsia" w:ascii="仿宋_GB2312" w:hAnsi="仿宋_GB2312" w:eastAsia="仿宋_GB2312" w:cs="仿宋_GB2312"/>
          <w:bCs/>
          <w:sz w:val="32"/>
          <w:szCs w:val="32"/>
          <w:lang w:eastAsia="zh-CN"/>
        </w:rPr>
        <w:t>校</w:t>
      </w:r>
      <w:r>
        <w:rPr>
          <w:rFonts w:hint="eastAsia" w:ascii="仿宋_GB2312" w:hAnsi="仿宋_GB2312" w:eastAsia="仿宋_GB2312" w:cs="仿宋_GB2312"/>
          <w:bCs/>
          <w:sz w:val="32"/>
          <w:szCs w:val="32"/>
        </w:rPr>
        <w:t>绩效评价的</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专项资金共计</w:t>
      </w:r>
      <w:r>
        <w:rPr>
          <w:rFonts w:hint="eastAsia" w:ascii="仿宋_GB2312" w:hAnsi="仿宋_GB2312" w:eastAsia="仿宋_GB2312" w:cs="仿宋_GB2312"/>
          <w:bCs/>
          <w:sz w:val="32"/>
          <w:szCs w:val="32"/>
          <w:lang w:val="en-US" w:eastAsia="zh-CN"/>
        </w:rPr>
        <w:t>62.59</w:t>
      </w:r>
      <w:r>
        <w:rPr>
          <w:rFonts w:hint="eastAsia" w:ascii="仿宋_GB2312" w:hAnsi="仿宋_GB2312" w:eastAsia="仿宋_GB2312" w:cs="仿宋_GB2312"/>
          <w:bCs/>
          <w:sz w:val="32"/>
          <w:szCs w:val="32"/>
        </w:rPr>
        <w:t>万元，用于我</w:t>
      </w:r>
      <w:r>
        <w:rPr>
          <w:rFonts w:hint="eastAsia" w:ascii="仿宋_GB2312" w:hAnsi="仿宋_GB2312" w:eastAsia="仿宋_GB2312" w:cs="仿宋_GB2312"/>
          <w:bCs/>
          <w:sz w:val="32"/>
          <w:szCs w:val="32"/>
          <w:lang w:eastAsia="zh-CN"/>
        </w:rPr>
        <w:t>校教师节慰问金、班主任津贴、退休教师一次性退休补贴、死亡教师一次性抚恤金、教师遗属生活补助</w:t>
      </w:r>
      <w:r>
        <w:rPr>
          <w:rFonts w:hint="eastAsia" w:ascii="仿宋_GB2312" w:hAnsi="仿宋_GB2312" w:eastAsia="仿宋_GB2312" w:cs="仿宋_GB2312"/>
          <w:bCs/>
          <w:sz w:val="32"/>
          <w:szCs w:val="32"/>
        </w:rPr>
        <w:t>等支出。</w:t>
      </w:r>
      <w:r>
        <w:rPr>
          <w:rFonts w:hint="eastAsia" w:ascii="仿宋" w:hAnsi="仿宋" w:eastAsia="仿宋" w:cs="Arial"/>
          <w:color w:val="000000"/>
          <w:sz w:val="32"/>
          <w:szCs w:val="32"/>
        </w:rPr>
        <w:t xml:space="preserve"> </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w:t>
      </w:r>
      <w:r>
        <w:rPr>
          <w:rFonts w:hint="eastAsia" w:ascii="仿宋_GB2312" w:hAnsi="仿宋_GB2312" w:eastAsia="仿宋_GB2312" w:cs="仿宋_GB2312"/>
          <w:bCs/>
          <w:sz w:val="32"/>
          <w:szCs w:val="32"/>
          <w:lang w:val="en-US" w:eastAsia="zh-CN"/>
        </w:rPr>
        <w:t>62.59</w:t>
      </w:r>
      <w:r>
        <w:rPr>
          <w:rFonts w:hint="eastAsia" w:ascii="仿宋_GB2312" w:hAnsi="仿宋_GB2312" w:eastAsia="仿宋_GB2312" w:cs="仿宋_GB2312"/>
          <w:bCs/>
          <w:sz w:val="32"/>
          <w:szCs w:val="32"/>
        </w:rPr>
        <w:t>万元，通过国库集中支付，自觉接受审计部门的监督，杜绝挤占、截留、挪用现象发生，专款专用。</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2023年我</w:t>
      </w:r>
      <w:r>
        <w:rPr>
          <w:rFonts w:hint="eastAsia" w:ascii="仿宋_GB2312" w:hAnsi="仿宋_GB2312" w:eastAsia="仿宋_GB2312" w:cs="仿宋_GB2312"/>
          <w:bCs/>
          <w:sz w:val="32"/>
          <w:szCs w:val="32"/>
          <w:lang w:eastAsia="zh-CN"/>
        </w:rPr>
        <w:t>校</w:t>
      </w:r>
      <w:r>
        <w:rPr>
          <w:rFonts w:hint="eastAsia" w:ascii="仿宋_GB2312" w:hAnsi="仿宋_GB2312" w:eastAsia="仿宋_GB2312" w:cs="仿宋_GB2312"/>
          <w:bCs/>
          <w:sz w:val="32"/>
          <w:szCs w:val="32"/>
        </w:rPr>
        <w:t>绩效评价的</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专项资金共计</w:t>
      </w:r>
      <w:r>
        <w:rPr>
          <w:rFonts w:hint="eastAsia" w:ascii="仿宋_GB2312" w:hAnsi="仿宋_GB2312" w:eastAsia="仿宋_GB2312" w:cs="仿宋_GB2312"/>
          <w:bCs/>
          <w:sz w:val="32"/>
          <w:szCs w:val="32"/>
          <w:lang w:val="en-US" w:eastAsia="zh-CN"/>
        </w:rPr>
        <w:t>62.59</w:t>
      </w:r>
      <w:r>
        <w:rPr>
          <w:rFonts w:hint="eastAsia" w:ascii="仿宋_GB2312" w:hAnsi="仿宋_GB2312" w:eastAsia="仿宋_GB2312" w:cs="仿宋_GB2312"/>
          <w:bCs/>
          <w:sz w:val="32"/>
          <w:szCs w:val="32"/>
        </w:rPr>
        <w:t>万元，其中：</w:t>
      </w:r>
      <w:r>
        <w:rPr>
          <w:rFonts w:hint="eastAsia" w:ascii="仿宋_GB2312" w:hAnsi="仿宋_GB2312" w:eastAsia="仿宋_GB2312" w:cs="仿宋_GB2312"/>
          <w:bCs/>
          <w:sz w:val="32"/>
          <w:szCs w:val="32"/>
          <w:lang w:eastAsia="zh-CN"/>
        </w:rPr>
        <w:t>教师节慰问金</w:t>
      </w:r>
      <w:r>
        <w:rPr>
          <w:rFonts w:hint="eastAsia" w:ascii="仿宋_GB2312" w:hAnsi="仿宋_GB2312" w:eastAsia="仿宋_GB2312" w:cs="仿宋_GB2312"/>
          <w:bCs/>
          <w:sz w:val="32"/>
          <w:szCs w:val="32"/>
          <w:lang w:val="en-US" w:eastAsia="zh-CN"/>
        </w:rPr>
        <w:t>4.6万元;</w:t>
      </w:r>
      <w:r>
        <w:rPr>
          <w:rFonts w:hint="eastAsia" w:ascii="仿宋_GB2312" w:hAnsi="仿宋_GB2312" w:eastAsia="仿宋_GB2312" w:cs="仿宋_GB2312"/>
          <w:bCs/>
          <w:sz w:val="32"/>
          <w:szCs w:val="32"/>
          <w:lang w:eastAsia="zh-CN"/>
        </w:rPr>
        <w:t>班主任津贴</w:t>
      </w:r>
      <w:r>
        <w:rPr>
          <w:rFonts w:hint="eastAsia" w:ascii="仿宋_GB2312" w:hAnsi="仿宋_GB2312" w:eastAsia="仿宋_GB2312" w:cs="仿宋_GB2312"/>
          <w:bCs/>
          <w:sz w:val="32"/>
          <w:szCs w:val="32"/>
          <w:lang w:val="en-US" w:eastAsia="zh-CN"/>
        </w:rPr>
        <w:t>12.54万元；</w:t>
      </w:r>
      <w:r>
        <w:rPr>
          <w:rFonts w:hint="eastAsia" w:ascii="仿宋_GB2312" w:hAnsi="仿宋_GB2312" w:eastAsia="仿宋_GB2312" w:cs="仿宋_GB2312"/>
          <w:bCs/>
          <w:sz w:val="32"/>
          <w:szCs w:val="32"/>
          <w:lang w:eastAsia="zh-CN"/>
        </w:rPr>
        <w:t>退休教师一次性退休补贴</w:t>
      </w:r>
      <w:r>
        <w:rPr>
          <w:rFonts w:hint="eastAsia" w:ascii="仿宋_GB2312" w:hAnsi="仿宋_GB2312" w:eastAsia="仿宋_GB2312" w:cs="仿宋_GB2312"/>
          <w:bCs/>
          <w:sz w:val="32"/>
          <w:szCs w:val="32"/>
          <w:lang w:val="en-US" w:eastAsia="zh-CN"/>
        </w:rPr>
        <w:t>5.27万元；</w:t>
      </w:r>
      <w:r>
        <w:rPr>
          <w:rFonts w:hint="eastAsia" w:ascii="仿宋_GB2312" w:hAnsi="仿宋_GB2312" w:eastAsia="仿宋_GB2312" w:cs="仿宋_GB2312"/>
          <w:bCs/>
          <w:sz w:val="32"/>
          <w:szCs w:val="32"/>
          <w:lang w:eastAsia="zh-CN"/>
        </w:rPr>
        <w:t>死亡教师一次性抚恤金</w:t>
      </w:r>
      <w:r>
        <w:rPr>
          <w:rFonts w:hint="eastAsia" w:ascii="仿宋_GB2312" w:hAnsi="仿宋_GB2312" w:eastAsia="仿宋_GB2312" w:cs="仿宋_GB2312"/>
          <w:bCs/>
          <w:sz w:val="32"/>
          <w:szCs w:val="32"/>
          <w:lang w:val="en-US" w:eastAsia="zh-CN"/>
        </w:rPr>
        <w:t>3.91万元；</w:t>
      </w:r>
      <w:r>
        <w:rPr>
          <w:rFonts w:hint="eastAsia" w:ascii="仿宋_GB2312" w:hAnsi="仿宋_GB2312" w:eastAsia="仿宋_GB2312" w:cs="仿宋_GB2312"/>
          <w:bCs/>
          <w:sz w:val="32"/>
          <w:szCs w:val="32"/>
          <w:lang w:eastAsia="zh-CN"/>
        </w:rPr>
        <w:t>教师遗属生活补助</w:t>
      </w:r>
      <w:r>
        <w:rPr>
          <w:rFonts w:hint="eastAsia" w:ascii="仿宋_GB2312" w:hAnsi="仿宋_GB2312" w:eastAsia="仿宋_GB2312" w:cs="仿宋_GB2312"/>
          <w:bCs/>
          <w:sz w:val="32"/>
          <w:szCs w:val="32"/>
          <w:lang w:val="en-US" w:eastAsia="zh-CN"/>
        </w:rPr>
        <w:t>4.55万元；人才津贴31.72万元</w:t>
      </w:r>
      <w:r>
        <w:rPr>
          <w:rFonts w:hint="eastAsia" w:ascii="仿宋_GB2312" w:hAnsi="仿宋_GB2312" w:eastAsia="仿宋_GB2312" w:cs="仿宋_GB2312"/>
          <w:bCs/>
          <w:sz w:val="32"/>
          <w:szCs w:val="32"/>
        </w:rPr>
        <w:t>；资金到位率100%。截至2023年12月31日，</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专项资金支出共计</w:t>
      </w:r>
      <w:r>
        <w:rPr>
          <w:rFonts w:hint="eastAsia" w:ascii="仿宋_GB2312" w:hAnsi="仿宋_GB2312" w:eastAsia="仿宋_GB2312" w:cs="仿宋_GB2312"/>
          <w:bCs/>
          <w:sz w:val="32"/>
          <w:szCs w:val="32"/>
          <w:lang w:val="en-US" w:eastAsia="zh-CN"/>
        </w:rPr>
        <w:t>41.03</w:t>
      </w:r>
      <w:r>
        <w:rPr>
          <w:rFonts w:hint="eastAsia" w:ascii="仿宋_GB2312" w:hAnsi="仿宋_GB2312" w:eastAsia="仿宋_GB2312" w:cs="仿宋_GB2312"/>
          <w:bCs/>
          <w:sz w:val="32"/>
          <w:szCs w:val="32"/>
        </w:rPr>
        <w:t>万元，支出率</w:t>
      </w:r>
      <w:r>
        <w:rPr>
          <w:rFonts w:hint="eastAsia" w:ascii="仿宋_GB2312" w:hAnsi="仿宋_GB2312" w:eastAsia="仿宋_GB2312" w:cs="仿宋_GB2312"/>
          <w:bCs/>
          <w:sz w:val="32"/>
          <w:szCs w:val="32"/>
          <w:lang w:val="en-US" w:eastAsia="zh-CN"/>
        </w:rPr>
        <w:t>66</w:t>
      </w:r>
      <w:r>
        <w:rPr>
          <w:rFonts w:hint="eastAsia" w:ascii="仿宋_GB2312" w:hAnsi="仿宋_GB2312" w:eastAsia="仿宋_GB2312" w:cs="仿宋_GB2312"/>
          <w:bCs/>
          <w:sz w:val="32"/>
          <w:szCs w:val="32"/>
        </w:rPr>
        <w:t>%。</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、项目绩效情况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1.项目经济性分析。2023年</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专项下达我</w:t>
      </w:r>
      <w:r>
        <w:rPr>
          <w:rFonts w:hint="eastAsia" w:ascii="仿宋_GB2312" w:hAnsi="仿宋_GB2312" w:eastAsia="仿宋_GB2312" w:cs="仿宋_GB2312"/>
          <w:bCs/>
          <w:sz w:val="32"/>
          <w:szCs w:val="32"/>
          <w:lang w:eastAsia="zh-CN"/>
        </w:rPr>
        <w:t>校</w:t>
      </w:r>
      <w:r>
        <w:rPr>
          <w:rFonts w:hint="eastAsia" w:ascii="仿宋_GB2312" w:hAnsi="仿宋_GB2312" w:eastAsia="仿宋_GB2312" w:cs="仿宋_GB2312"/>
          <w:bCs/>
          <w:sz w:val="32"/>
          <w:szCs w:val="32"/>
        </w:rPr>
        <w:t>资金</w:t>
      </w:r>
      <w:r>
        <w:rPr>
          <w:rFonts w:hint="eastAsia" w:ascii="仿宋_GB2312" w:hAnsi="仿宋_GB2312" w:eastAsia="仿宋_GB2312" w:cs="仿宋_GB2312"/>
          <w:bCs/>
          <w:sz w:val="32"/>
          <w:szCs w:val="32"/>
          <w:lang w:val="en-US" w:eastAsia="zh-CN"/>
        </w:rPr>
        <w:t>62.59</w:t>
      </w:r>
      <w:r>
        <w:rPr>
          <w:rFonts w:hint="eastAsia" w:ascii="仿宋_GB2312" w:hAnsi="仿宋_GB2312" w:eastAsia="仿宋_GB2312" w:cs="仿宋_GB2312"/>
          <w:bCs/>
          <w:sz w:val="32"/>
          <w:szCs w:val="32"/>
        </w:rPr>
        <w:t>万元，本着“少花钱、多办事、办好事”的原则，项目总支出</w:t>
      </w:r>
      <w:r>
        <w:rPr>
          <w:rFonts w:hint="eastAsia" w:ascii="仿宋_GB2312" w:hAnsi="仿宋_GB2312" w:eastAsia="仿宋_GB2312" w:cs="仿宋_GB2312"/>
          <w:bCs/>
          <w:sz w:val="32"/>
          <w:szCs w:val="32"/>
          <w:lang w:val="en-US" w:eastAsia="zh-CN"/>
        </w:rPr>
        <w:t>62.59</w:t>
      </w:r>
      <w:r>
        <w:rPr>
          <w:rFonts w:hint="eastAsia" w:ascii="仿宋_GB2312" w:hAnsi="仿宋_GB2312" w:eastAsia="仿宋_GB2312" w:cs="仿宋_GB2312"/>
          <w:bCs/>
          <w:sz w:val="32"/>
          <w:szCs w:val="32"/>
        </w:rPr>
        <w:t>万元。</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2.项目的效率性分析。根据</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专项目标，我</w:t>
      </w:r>
      <w:r>
        <w:rPr>
          <w:rFonts w:hint="eastAsia" w:ascii="仿宋_GB2312" w:hAnsi="仿宋_GB2312" w:eastAsia="仿宋_GB2312" w:cs="仿宋_GB2312"/>
          <w:bCs/>
          <w:sz w:val="32"/>
          <w:szCs w:val="32"/>
          <w:lang w:eastAsia="zh-CN"/>
        </w:rPr>
        <w:t>校</w:t>
      </w:r>
      <w:r>
        <w:rPr>
          <w:rFonts w:hint="eastAsia" w:ascii="仿宋_GB2312" w:hAnsi="仿宋_GB2312" w:eastAsia="仿宋_GB2312" w:cs="仿宋_GB2312"/>
          <w:bCs/>
          <w:sz w:val="32"/>
          <w:szCs w:val="32"/>
        </w:rPr>
        <w:t>及时组织并完成工作任务。项目的实施完成率</w:t>
      </w:r>
      <w:r>
        <w:rPr>
          <w:rFonts w:hint="eastAsia" w:ascii="仿宋_GB2312" w:hAnsi="仿宋_GB2312" w:eastAsia="仿宋_GB2312" w:cs="仿宋_GB2312"/>
          <w:bCs/>
          <w:sz w:val="32"/>
          <w:szCs w:val="32"/>
          <w:lang w:val="en-US" w:eastAsia="zh-CN"/>
        </w:rPr>
        <w:t>100</w:t>
      </w:r>
      <w:r>
        <w:rPr>
          <w:rFonts w:hint="eastAsia" w:ascii="仿宋_GB2312" w:hAnsi="仿宋_GB2312" w:eastAsia="仿宋_GB2312" w:cs="仿宋_GB2312"/>
          <w:bCs/>
          <w:sz w:val="32"/>
          <w:szCs w:val="32"/>
        </w:rPr>
        <w:t>%。</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3.项目的效益性分析。我</w:t>
      </w:r>
      <w:r>
        <w:rPr>
          <w:rFonts w:hint="eastAsia" w:ascii="仿宋_GB2312" w:hAnsi="仿宋_GB2312" w:eastAsia="仿宋_GB2312" w:cs="仿宋_GB2312"/>
          <w:bCs/>
          <w:sz w:val="32"/>
          <w:szCs w:val="32"/>
          <w:lang w:eastAsia="zh-CN"/>
        </w:rPr>
        <w:t>校</w:t>
      </w:r>
      <w:r>
        <w:rPr>
          <w:rFonts w:hint="eastAsia" w:ascii="仿宋_GB2312" w:hAnsi="仿宋_GB2312" w:eastAsia="仿宋_GB2312" w:cs="仿宋_GB2312"/>
          <w:bCs/>
          <w:sz w:val="32"/>
          <w:szCs w:val="32"/>
        </w:rPr>
        <w:t>及时组织了项目的实施，年度项目完</w:t>
      </w:r>
      <w:r>
        <w:rPr>
          <w:rFonts w:hint="eastAsia" w:ascii="仿宋_GB2312" w:hAnsi="仿宋_GB2312" w:eastAsia="仿宋_GB2312" w:cs="仿宋_GB2312"/>
          <w:bCs/>
          <w:sz w:val="32"/>
          <w:szCs w:val="32"/>
          <w:lang w:eastAsia="zh-CN"/>
        </w:rPr>
        <w:t>成</w:t>
      </w:r>
      <w:r>
        <w:rPr>
          <w:rFonts w:hint="eastAsia" w:ascii="仿宋_GB2312" w:hAnsi="仿宋_GB2312" w:eastAsia="仿宋_GB2312" w:cs="仿宋_GB2312"/>
          <w:bCs/>
          <w:sz w:val="32"/>
          <w:szCs w:val="32"/>
        </w:rPr>
        <w:t>率</w:t>
      </w:r>
      <w:r>
        <w:rPr>
          <w:rFonts w:hint="eastAsia" w:ascii="仿宋_GB2312" w:hAnsi="仿宋_GB2312" w:eastAsia="仿宋_GB2312" w:cs="仿宋_GB2312"/>
          <w:bCs/>
          <w:sz w:val="32"/>
          <w:szCs w:val="32"/>
          <w:lang w:val="en-US" w:eastAsia="zh-CN"/>
        </w:rPr>
        <w:t>66</w:t>
      </w:r>
      <w:r>
        <w:rPr>
          <w:rFonts w:hint="eastAsia" w:ascii="仿宋_GB2312" w:hAnsi="仿宋_GB2312" w:eastAsia="仿宋_GB2312" w:cs="仿宋_GB2312"/>
          <w:bCs/>
          <w:sz w:val="32"/>
          <w:szCs w:val="32"/>
        </w:rPr>
        <w:t>%，资金预算完成率</w:t>
      </w:r>
      <w:r>
        <w:rPr>
          <w:rFonts w:hint="eastAsia" w:ascii="仿宋_GB2312" w:hAnsi="仿宋_GB2312" w:eastAsia="仿宋_GB2312" w:cs="仿宋_GB2312"/>
          <w:bCs/>
          <w:sz w:val="32"/>
          <w:szCs w:val="32"/>
          <w:lang w:val="en-US" w:eastAsia="zh-CN"/>
        </w:rPr>
        <w:t>66</w:t>
      </w:r>
      <w:r>
        <w:rPr>
          <w:rFonts w:hint="eastAsia" w:ascii="仿宋_GB2312" w:hAnsi="仿宋_GB2312" w:eastAsia="仿宋_GB2312" w:cs="仿宋_GB2312"/>
          <w:bCs/>
          <w:sz w:val="32"/>
          <w:szCs w:val="32"/>
        </w:rPr>
        <w:t>%。项目实施后，我</w:t>
      </w:r>
      <w:r>
        <w:rPr>
          <w:rFonts w:hint="eastAsia" w:ascii="仿宋_GB2312" w:hAnsi="仿宋_GB2312" w:eastAsia="仿宋_GB2312" w:cs="仿宋_GB2312"/>
          <w:bCs/>
          <w:sz w:val="32"/>
          <w:szCs w:val="32"/>
          <w:lang w:eastAsia="zh-CN"/>
        </w:rPr>
        <w:t>校</w:t>
      </w:r>
      <w:r>
        <w:rPr>
          <w:rFonts w:hint="eastAsia" w:ascii="仿宋" w:hAnsi="仿宋" w:eastAsia="仿宋" w:cs="仿宋"/>
          <w:kern w:val="0"/>
          <w:sz w:val="32"/>
          <w:szCs w:val="32"/>
        </w:rPr>
        <w:t>保障了学校正常运转、改善了学校教学环境、提高了广大师生满意度</w:t>
      </w:r>
      <w:r>
        <w:rPr>
          <w:rFonts w:hint="eastAsia" w:ascii="仿宋_GB2312" w:hAnsi="仿宋_GB2312" w:eastAsia="仿宋_GB2312" w:cs="仿宋_GB2312"/>
          <w:bCs/>
          <w:sz w:val="32"/>
          <w:szCs w:val="32"/>
        </w:rPr>
        <w:t>。</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eastAsia="zh-CN"/>
        </w:rPr>
        <w:t>四</w:t>
      </w:r>
      <w:r>
        <w:rPr>
          <w:rFonts w:hint="eastAsia" w:ascii="黑体" w:hAnsi="黑体" w:eastAsia="黑体" w:cs="黑体"/>
          <w:bCs/>
          <w:sz w:val="32"/>
          <w:szCs w:val="32"/>
        </w:rPr>
        <w:t>、其他需要说明的问题</w:t>
      </w:r>
    </w:p>
    <w:p>
      <w:pPr>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（一）后续工作计划</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做好</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专项实施后的后续服务工作。</w:t>
      </w:r>
    </w:p>
    <w:p>
      <w:pPr>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（二）主要经验及做法、存在的问题和建议</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1.主要经验及做法</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高位推动，强化组织领导，强化宣传，营造浓厚氛围。为保证工作的顺利进行，保证工作效果，把责任落实到人，形成</w:t>
      </w:r>
      <w:r>
        <w:rPr>
          <w:rFonts w:hint="eastAsia" w:ascii="仿宋_GB2312" w:hAnsi="仿宋_GB2312" w:eastAsia="仿宋_GB2312" w:cs="仿宋_GB2312"/>
          <w:bCs/>
          <w:sz w:val="32"/>
          <w:szCs w:val="32"/>
          <w:lang w:eastAsia="zh-CN"/>
        </w:rPr>
        <w:t>教育局</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学校</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财务室三</w:t>
      </w:r>
      <w:r>
        <w:rPr>
          <w:rFonts w:hint="eastAsia" w:ascii="仿宋_GB2312" w:hAnsi="仿宋_GB2312" w:eastAsia="仿宋_GB2312" w:cs="仿宋_GB2312"/>
          <w:bCs/>
          <w:sz w:val="32"/>
          <w:szCs w:val="32"/>
        </w:rPr>
        <w:t>位一体的责任体系，有力地促进了</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 xml:space="preserve">专项工作的有序开展。   </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2.存在的问题</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因我</w:t>
      </w:r>
      <w:r>
        <w:rPr>
          <w:rFonts w:hint="eastAsia" w:ascii="仿宋_GB2312" w:hAnsi="仿宋_GB2312" w:eastAsia="仿宋_GB2312" w:cs="仿宋_GB2312"/>
          <w:bCs/>
          <w:sz w:val="32"/>
          <w:szCs w:val="32"/>
          <w:lang w:eastAsia="zh-CN"/>
        </w:rPr>
        <w:t>校</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基础薄弱，资金投入不足，预算不够细化。</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3.建议</w:t>
      </w:r>
    </w:p>
    <w:p>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加大</w:t>
      </w:r>
      <w:r>
        <w:rPr>
          <w:rFonts w:hint="eastAsia" w:ascii="仿宋" w:hAnsi="仿宋" w:eastAsia="仿宋" w:cs="仿宋"/>
          <w:sz w:val="32"/>
          <w:szCs w:val="32"/>
          <w:lang w:eastAsia="zh-CN"/>
        </w:rPr>
        <w:t>教师事业发展</w:t>
      </w:r>
      <w:r>
        <w:rPr>
          <w:rFonts w:hint="eastAsia" w:ascii="仿宋_GB2312" w:hAnsi="仿宋_GB2312" w:eastAsia="仿宋_GB2312" w:cs="仿宋_GB2312"/>
          <w:bCs/>
          <w:sz w:val="32"/>
          <w:szCs w:val="32"/>
        </w:rPr>
        <w:t>专项</w:t>
      </w:r>
      <w:r>
        <w:rPr>
          <w:rFonts w:hint="eastAsia" w:ascii="仿宋_GB2312" w:hAnsi="仿宋_GB2312" w:eastAsia="仿宋_GB2312" w:cs="仿宋_GB2312"/>
          <w:bCs/>
          <w:sz w:val="32"/>
          <w:szCs w:val="32"/>
          <w:lang w:eastAsia="zh-CN"/>
        </w:rPr>
        <w:t>资金</w:t>
      </w:r>
      <w:r>
        <w:rPr>
          <w:rFonts w:hint="eastAsia" w:ascii="仿宋_GB2312" w:hAnsi="仿宋_GB2312" w:eastAsia="仿宋_GB2312" w:cs="仿宋_GB2312"/>
          <w:bCs/>
          <w:sz w:val="32"/>
          <w:szCs w:val="32"/>
        </w:rPr>
        <w:t>投入，完善预算管理制度，将预算制度、责任、指标、费用、定额等进行细化，提高资金使用及时率，把预算管理作为精、细、实的重要内容。</w:t>
      </w:r>
    </w:p>
    <w:p>
      <w:pPr>
        <w:wordWrap w:val="0"/>
        <w:spacing w:line="560" w:lineRule="exact"/>
        <w:jc w:val="right"/>
        <w:rPr>
          <w:rFonts w:hint="eastAsia" w:ascii="仿宋_GB2312" w:hAnsi="仿宋_GB2312" w:eastAsia="仿宋_GB2312" w:cs="仿宋_GB2312"/>
          <w:bCs/>
          <w:sz w:val="32"/>
          <w:szCs w:val="32"/>
        </w:rPr>
      </w:pPr>
    </w:p>
    <w:p>
      <w:pPr>
        <w:wordWrap w:val="0"/>
        <w:spacing w:line="560" w:lineRule="exact"/>
        <w:jc w:val="righ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江永县</w:t>
      </w:r>
      <w:r>
        <w:rPr>
          <w:rFonts w:hint="eastAsia" w:ascii="仿宋_GB2312" w:hAnsi="仿宋_GB2312" w:eastAsia="仿宋_GB2312" w:cs="仿宋_GB2312"/>
          <w:bCs/>
          <w:sz w:val="32"/>
          <w:szCs w:val="32"/>
          <w:lang w:eastAsia="zh-CN"/>
        </w:rPr>
        <w:t>桃川镇上洞学校</w:t>
      </w:r>
      <w:r>
        <w:rPr>
          <w:rFonts w:hint="eastAsia" w:ascii="仿宋_GB2312" w:hAnsi="仿宋_GB2312" w:eastAsia="仿宋_GB2312" w:cs="仿宋_GB2312"/>
          <w:bCs/>
          <w:sz w:val="32"/>
          <w:szCs w:val="32"/>
        </w:rPr>
        <w:t xml:space="preserve"> </w:t>
      </w:r>
    </w:p>
    <w:p>
      <w:pPr>
        <w:widowControl/>
        <w:spacing w:line="56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2024年</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18</w:t>
      </w:r>
      <w:r>
        <w:rPr>
          <w:rFonts w:hint="eastAsia" w:ascii="仿宋_GB2312" w:hAnsi="仿宋_GB2312" w:eastAsia="仿宋_GB2312" w:cs="仿宋_GB2312"/>
          <w:bCs/>
          <w:sz w:val="32"/>
          <w:szCs w:val="32"/>
        </w:rPr>
        <w:t>日</w:t>
      </w:r>
    </w:p>
    <w:p/>
    <w:p/>
    <w:p/>
    <w:p/>
    <w:p/>
    <w:p/>
    <w:p/>
    <w:p/>
    <w:p>
      <w:pPr>
        <w:widowControl/>
        <w:spacing w:line="560" w:lineRule="exact"/>
        <w:jc w:val="center"/>
        <w:rPr>
          <w:rFonts w:eastAsia="方正小标宋_GBK"/>
          <w:color w:val="000000"/>
          <w:kern w:val="0"/>
          <w:sz w:val="36"/>
          <w:szCs w:val="36"/>
        </w:rPr>
      </w:pPr>
      <w:r>
        <w:rPr>
          <w:rFonts w:eastAsia="方正小标宋_GBK"/>
          <w:color w:val="000000"/>
          <w:kern w:val="0"/>
          <w:sz w:val="44"/>
          <w:szCs w:val="44"/>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4"/>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246"/>
        <w:gridCol w:w="1080"/>
        <w:gridCol w:w="1394"/>
        <w:gridCol w:w="964"/>
        <w:gridCol w:w="1134"/>
        <w:gridCol w:w="828"/>
        <w:gridCol w:w="112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1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8937" w:type="dxa"/>
            <w:gridSpan w:val="8"/>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教师事业发展经费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684" w:type="dxa"/>
            <w:gridSpan w:val="4"/>
            <w:noWrap w:val="0"/>
            <w:vAlign w:val="center"/>
          </w:tcPr>
          <w:p>
            <w:pPr>
              <w:jc w:val="center"/>
              <w:rPr>
                <w:rFonts w:hint="eastAsia" w:eastAsia="仿宋_GB2312"/>
                <w:color w:val="000000"/>
                <w:kern w:val="0"/>
                <w:szCs w:val="21"/>
              </w:rPr>
            </w:pP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3119" w:type="dxa"/>
            <w:gridSpan w:val="3"/>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江永县上洞学校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914"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32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139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96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1134" w:type="dxa"/>
            <w:noWrap w:val="0"/>
            <w:vAlign w:val="center"/>
          </w:tcPr>
          <w:p>
            <w:pPr>
              <w:keepNext w:val="0"/>
              <w:keepLines w:val="0"/>
              <w:widowControl/>
              <w:suppressLineNumbers w:val="0"/>
              <w:jc w:val="center"/>
              <w:textAlignment w:val="center"/>
              <w:rPr>
                <w:rFonts w:eastAsia="仿宋_GB2312"/>
                <w:szCs w:val="21"/>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828" w:type="dxa"/>
            <w:noWrap w:val="0"/>
            <w:vAlign w:val="center"/>
          </w:tcPr>
          <w:p>
            <w:pPr>
              <w:keepNext w:val="0"/>
              <w:keepLines w:val="0"/>
              <w:widowControl/>
              <w:suppressLineNumbers w:val="0"/>
              <w:jc w:val="center"/>
              <w:textAlignment w:val="center"/>
              <w:rPr>
                <w:rFonts w:eastAsia="仿宋_GB2312"/>
                <w:szCs w:val="21"/>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124" w:type="dxa"/>
            <w:noWrap w:val="0"/>
            <w:vAlign w:val="center"/>
          </w:tcPr>
          <w:p>
            <w:pPr>
              <w:keepNext w:val="0"/>
              <w:keepLines w:val="0"/>
              <w:widowControl/>
              <w:suppressLineNumbers w:val="0"/>
              <w:jc w:val="center"/>
              <w:textAlignment w:val="center"/>
              <w:rPr>
                <w:rFonts w:eastAsia="仿宋_GB2312"/>
                <w:szCs w:val="21"/>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1167" w:type="dxa"/>
            <w:noWrap w:val="0"/>
            <w:vAlign w:val="center"/>
          </w:tcPr>
          <w:p>
            <w:pPr>
              <w:keepNext w:val="0"/>
              <w:keepLines w:val="0"/>
              <w:widowControl/>
              <w:suppressLineNumbers w:val="0"/>
              <w:jc w:val="center"/>
              <w:textAlignment w:val="center"/>
              <w:rPr>
                <w:rFonts w:eastAsia="仿宋_GB2312"/>
                <w:szCs w:val="21"/>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2326" w:type="dxa"/>
            <w:gridSpan w:val="2"/>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394" w:type="dxa"/>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96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62.59</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62.59</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124" w:type="dxa"/>
            <w:noWrap w:val="0"/>
            <w:vAlign w:val="center"/>
          </w:tcPr>
          <w:p>
            <w:pPr>
              <w:jc w:val="center"/>
              <w:rPr>
                <w:rFonts w:hint="eastAsia" w:eastAsia="仿宋_GB2312"/>
                <w:color w:val="000000"/>
                <w:kern w:val="0"/>
                <w:szCs w:val="21"/>
              </w:rPr>
            </w:pPr>
          </w:p>
        </w:tc>
        <w:tc>
          <w:tcPr>
            <w:tcW w:w="1167" w:type="dxa"/>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2326" w:type="dxa"/>
            <w:gridSpan w:val="2"/>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394" w:type="dxa"/>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96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124" w:type="dxa"/>
            <w:noWrap w:val="0"/>
            <w:vAlign w:val="center"/>
          </w:tcPr>
          <w:p>
            <w:pPr>
              <w:jc w:val="center"/>
              <w:rPr>
                <w:rFonts w:eastAsia="仿宋_GB2312"/>
                <w:color w:val="000000"/>
                <w:kern w:val="0"/>
                <w:szCs w:val="21"/>
              </w:rPr>
            </w:pPr>
          </w:p>
        </w:tc>
        <w:tc>
          <w:tcPr>
            <w:tcW w:w="116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2326" w:type="dxa"/>
            <w:gridSpan w:val="2"/>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39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96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124" w:type="dxa"/>
            <w:noWrap w:val="0"/>
            <w:vAlign w:val="center"/>
          </w:tcPr>
          <w:p>
            <w:pPr>
              <w:jc w:val="center"/>
              <w:rPr>
                <w:rFonts w:eastAsia="仿宋_GB2312"/>
                <w:color w:val="000000"/>
                <w:kern w:val="0"/>
                <w:szCs w:val="21"/>
              </w:rPr>
            </w:pPr>
          </w:p>
        </w:tc>
        <w:tc>
          <w:tcPr>
            <w:tcW w:w="116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2326" w:type="dxa"/>
            <w:gridSpan w:val="2"/>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39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0</w:t>
            </w:r>
          </w:p>
        </w:tc>
        <w:tc>
          <w:tcPr>
            <w:tcW w:w="96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62.59</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62.59</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12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16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684" w:type="dxa"/>
            <w:gridSpan w:val="4"/>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4253" w:type="dxa"/>
            <w:gridSpan w:val="4"/>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914" w:type="dxa"/>
            <w:vMerge w:val="continue"/>
            <w:noWrap w:val="0"/>
            <w:vAlign w:val="center"/>
          </w:tcPr>
          <w:p>
            <w:pPr>
              <w:jc w:val="center"/>
              <w:rPr>
                <w:rFonts w:eastAsia="仿宋_GB2312"/>
                <w:color w:val="000000"/>
                <w:kern w:val="0"/>
                <w:szCs w:val="21"/>
              </w:rPr>
            </w:pPr>
          </w:p>
        </w:tc>
        <w:tc>
          <w:tcPr>
            <w:tcW w:w="4684" w:type="dxa"/>
            <w:gridSpan w:val="4"/>
            <w:noWrap w:val="0"/>
            <w:vAlign w:val="center"/>
          </w:tcPr>
          <w:p>
            <w:pPr>
              <w:keepNext w:val="0"/>
              <w:keepLines w:val="0"/>
              <w:widowControl/>
              <w:suppressLineNumbers w:val="0"/>
              <w:jc w:val="center"/>
              <w:textAlignment w:val="center"/>
              <w:rPr>
                <w:rFonts w:ascii="宋体" w:hAnsi="宋体"/>
                <w:sz w:val="18"/>
                <w:szCs w:val="18"/>
              </w:rPr>
            </w:pPr>
            <w:r>
              <w:rPr>
                <w:rFonts w:hint="eastAsia" w:ascii="微软雅黑" w:hAnsi="微软雅黑" w:eastAsia="微软雅黑" w:cs="微软雅黑"/>
                <w:i w:val="0"/>
                <w:iCs w:val="0"/>
                <w:color w:val="000000"/>
                <w:kern w:val="0"/>
                <w:sz w:val="20"/>
                <w:szCs w:val="20"/>
                <w:u w:val="none"/>
                <w:lang w:val="en-US" w:eastAsia="zh-CN" w:bidi="ar"/>
              </w:rPr>
              <w:t>1、发放2023年度教师节慰问金4.6万元。2、发放班主任津贴12.54万元。3、发放退休教师一次性退休补贴5.27万元。4、发放2023年度死亡教师一次性抚恤金3.91万元。5、发放教师遗属生活补助4.55万元。6、发放农村基层人才津贴31.72万元。</w:t>
            </w:r>
          </w:p>
        </w:tc>
        <w:tc>
          <w:tcPr>
            <w:tcW w:w="4253" w:type="dxa"/>
            <w:gridSpan w:val="4"/>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14"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246"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08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139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96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12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16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教师节慰问金发放人数</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65人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65人</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班主任津贴发放人数</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21人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21人</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2023年退休教师人数</w:t>
            </w:r>
          </w:p>
        </w:tc>
        <w:tc>
          <w:tcPr>
            <w:tcW w:w="96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2人</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一次性抚恤金发放人数</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1人</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遗属人员</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7人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7人</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hint="eastAsia"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农村基层人才津贴人数</w:t>
            </w:r>
          </w:p>
        </w:tc>
        <w:tc>
          <w:tcPr>
            <w:tcW w:w="96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49人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49人</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教师节慰问金发放完成率</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班主任津贴发放完成率</w:t>
            </w:r>
          </w:p>
        </w:tc>
        <w:tc>
          <w:tcPr>
            <w:tcW w:w="96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退休教师一次性退休补贴发放完成率</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一次性抚恤金发放完成率</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遗属生活补助发放完成率</w:t>
            </w:r>
          </w:p>
        </w:tc>
        <w:tc>
          <w:tcPr>
            <w:tcW w:w="96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农村基层人才津贴发放完成率</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1394"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教师节慰问金发放时间</w:t>
            </w:r>
          </w:p>
        </w:tc>
        <w:tc>
          <w:tcPr>
            <w:tcW w:w="96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2023年9月10日前</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2023年9月4日</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4" w:type="dxa"/>
            <w:vMerge w:val="continue"/>
            <w:noWrap w:val="0"/>
            <w:vAlign w:val="center"/>
          </w:tcPr>
          <w:p>
            <w:pPr>
              <w:jc w:val="center"/>
              <w:rPr>
                <w:rFonts w:eastAsia="仿宋_GB2312"/>
                <w:color w:val="000000"/>
                <w:kern w:val="0"/>
                <w:szCs w:val="21"/>
              </w:rPr>
            </w:pPr>
          </w:p>
        </w:tc>
        <w:tc>
          <w:tcPr>
            <w:tcW w:w="1246"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394"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班主任津贴发放时间</w:t>
            </w:r>
          </w:p>
        </w:tc>
        <w:tc>
          <w:tcPr>
            <w:tcW w:w="96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2023年年内</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2023年年内</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67"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24" w:type="dxa"/>
            <w:noWrap w:val="0"/>
            <w:vAlign w:val="center"/>
          </w:tcPr>
          <w:p>
            <w:pPr>
              <w:keepNext w:val="0"/>
              <w:keepLines w:val="0"/>
              <w:widowControl/>
              <w:suppressLineNumbers w:val="0"/>
              <w:jc w:val="center"/>
              <w:textAlignment w:val="center"/>
              <w:rPr>
                <w:rFonts w:hint="eastAsia" w:eastAsia="仿宋_GB2312"/>
                <w:color w:val="000000"/>
                <w:kern w:val="0"/>
                <w:szCs w:val="21"/>
              </w:rPr>
            </w:pPr>
            <w:r>
              <w:rPr>
                <w:rFonts w:hint="eastAsia" w:ascii="微软雅黑" w:hAnsi="微软雅黑" w:eastAsia="微软雅黑" w:cs="微软雅黑"/>
                <w:i w:val="0"/>
                <w:iCs w:val="0"/>
                <w:color w:val="000000"/>
                <w:kern w:val="0"/>
                <w:sz w:val="20"/>
                <w:szCs w:val="20"/>
                <w:u w:val="none"/>
                <w:lang w:val="en-US" w:eastAsia="zh-CN" w:bidi="ar"/>
              </w:rPr>
              <w:t>99.00</w:t>
            </w:r>
          </w:p>
        </w:tc>
        <w:tc>
          <w:tcPr>
            <w:tcW w:w="1167" w:type="dxa"/>
            <w:noWrap w:val="0"/>
            <w:vAlign w:val="center"/>
          </w:tcPr>
          <w:p>
            <w:pPr>
              <w:jc w:val="center"/>
              <w:rPr>
                <w:rFonts w:eastAsia="仿宋_GB2312"/>
                <w:color w:val="000000"/>
                <w:kern w:val="0"/>
                <w:szCs w:val="21"/>
              </w:rPr>
            </w:pPr>
          </w:p>
        </w:tc>
      </w:tr>
    </w:tbl>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widowControl/>
        <w:spacing w:line="560" w:lineRule="exact"/>
        <w:jc w:val="center"/>
        <w:rPr>
          <w:rFonts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桃川镇上洞学校</w:t>
      </w:r>
      <w:r>
        <w:rPr>
          <w:rFonts w:ascii="黑体" w:hAnsi="黑体" w:eastAsia="黑体"/>
          <w:kern w:val="0"/>
          <w:sz w:val="44"/>
          <w:szCs w:val="44"/>
        </w:rPr>
        <w:t>财政专项（项目）资金绩效评价表</w:t>
      </w:r>
    </w:p>
    <w:tbl>
      <w:tblPr>
        <w:tblStyle w:val="4"/>
        <w:tblW w:w="0" w:type="auto"/>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2</w:t>
            </w:r>
          </w:p>
        </w:tc>
      </w:tr>
      <w:tr>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pPr>
              <w:widowControl/>
              <w:rPr>
                <w:rFonts w:hint="eastAsia" w:ascii="宋体" w:hAnsi="宋体"/>
                <w:color w:val="000000"/>
                <w:kern w:val="0"/>
                <w:sz w:val="24"/>
              </w:rPr>
            </w:pPr>
            <w:r>
              <w:rPr>
                <w:rFonts w:hint="eastAsia" w:ascii="宋体" w:hAnsi="宋体"/>
                <w:color w:val="000000"/>
                <w:kern w:val="0"/>
                <w:sz w:val="24"/>
              </w:rPr>
              <w:t>98</w:t>
            </w:r>
          </w:p>
        </w:tc>
      </w:tr>
    </w:tbl>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单位（部门）绩效自评公开网址统计表</w:t>
      </w:r>
    </w:p>
    <w:tbl>
      <w:tblPr>
        <w:tblStyle w:val="4"/>
        <w:tblpPr w:leftFromText="180" w:rightFromText="180" w:vertAnchor="text" w:horzAnchor="page" w:tblpX="1538" w:tblpY="675"/>
        <w:tblOverlap w:val="never"/>
        <w:tblW w:w="0" w:type="auto"/>
        <w:tblInd w:w="0" w:type="dxa"/>
        <w:tblLayout w:type="fixed"/>
        <w:tblCellMar>
          <w:top w:w="0" w:type="dxa"/>
          <w:left w:w="0" w:type="dxa"/>
          <w:bottom w:w="0" w:type="dxa"/>
          <w:right w:w="0" w:type="dxa"/>
        </w:tblCellMar>
      </w:tblPr>
      <w:tblGrid>
        <w:gridCol w:w="679"/>
        <w:gridCol w:w="1421"/>
        <w:gridCol w:w="684"/>
        <w:gridCol w:w="2784"/>
        <w:gridCol w:w="1092"/>
        <w:gridCol w:w="1440"/>
        <w:gridCol w:w="973"/>
      </w:tblGrid>
      <w:tr>
        <w:tblPrEx>
          <w:tblCellMar>
            <w:top w:w="0" w:type="dxa"/>
            <w:left w:w="0" w:type="dxa"/>
            <w:bottom w:w="0" w:type="dxa"/>
            <w:right w:w="0" w:type="dxa"/>
          </w:tblCellMar>
        </w:tblPrEx>
        <w:trPr>
          <w:trHeight w:val="1152" w:hRule="atLeast"/>
        </w:trPr>
        <w:tc>
          <w:tcPr>
            <w:tcW w:w="67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单位代码</w:t>
            </w:r>
          </w:p>
        </w:tc>
        <w:tc>
          <w:tcPr>
            <w:tcW w:w="142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单 位 名 称</w:t>
            </w:r>
          </w:p>
        </w:tc>
        <w:tc>
          <w:tcPr>
            <w:tcW w:w="6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自评报告公开是/否</w:t>
            </w:r>
          </w:p>
        </w:tc>
        <w:tc>
          <w:tcPr>
            <w:tcW w:w="27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公开网址</w:t>
            </w:r>
          </w:p>
        </w:tc>
        <w:tc>
          <w:tcPr>
            <w:tcW w:w="10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联系人</w:t>
            </w: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联系电话</w:t>
            </w:r>
          </w:p>
        </w:tc>
        <w:tc>
          <w:tcPr>
            <w:tcW w:w="97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备注</w:t>
            </w:r>
          </w:p>
        </w:tc>
      </w:tr>
      <w:tr>
        <w:tblPrEx>
          <w:tblCellMar>
            <w:top w:w="0" w:type="dxa"/>
            <w:left w:w="0" w:type="dxa"/>
            <w:bottom w:w="0" w:type="dxa"/>
            <w:right w:w="0" w:type="dxa"/>
          </w:tblCellMar>
        </w:tblPrEx>
        <w:trPr>
          <w:trHeight w:val="1134" w:hRule="exact"/>
        </w:trPr>
        <w:tc>
          <w:tcPr>
            <w:tcW w:w="67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2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eastAsia="宋体" w:cs="宋体"/>
                <w:color w:val="000000"/>
                <w:sz w:val="22"/>
                <w:szCs w:val="22"/>
                <w:lang w:eastAsia="zh-CN"/>
              </w:rPr>
            </w:pPr>
            <w:r>
              <w:rPr>
                <w:rFonts w:hint="eastAsia" w:ascii="宋体" w:hAnsi="宋体" w:cs="宋体"/>
                <w:color w:val="000000"/>
                <w:sz w:val="22"/>
                <w:szCs w:val="22"/>
              </w:rPr>
              <w:t>江永县</w:t>
            </w:r>
            <w:r>
              <w:rPr>
                <w:rFonts w:hint="eastAsia" w:ascii="宋体" w:hAnsi="宋体" w:cs="宋体"/>
                <w:color w:val="000000"/>
                <w:sz w:val="22"/>
                <w:szCs w:val="22"/>
                <w:lang w:eastAsia="zh-CN"/>
              </w:rPr>
              <w:t>桃川镇上洞学校</w:t>
            </w:r>
          </w:p>
        </w:tc>
        <w:tc>
          <w:tcPr>
            <w:tcW w:w="6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r>
              <w:rPr>
                <w:rFonts w:hint="eastAsia" w:ascii="宋体" w:hAnsi="宋体" w:cs="宋体"/>
                <w:color w:val="000000"/>
                <w:sz w:val="22"/>
                <w:szCs w:val="22"/>
              </w:rPr>
              <w:t>是</w:t>
            </w:r>
          </w:p>
        </w:tc>
        <w:tc>
          <w:tcPr>
            <w:tcW w:w="27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0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何春送</w:t>
            </w: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color w:val="000000"/>
                <w:sz w:val="22"/>
                <w:szCs w:val="22"/>
                <w:lang w:val="en-US" w:eastAsia="zh-CN"/>
              </w:rPr>
            </w:pPr>
            <w:r>
              <w:rPr>
                <w:rFonts w:hint="eastAsia" w:ascii="宋体" w:hAnsi="宋体" w:cs="宋体"/>
                <w:color w:val="000000"/>
                <w:sz w:val="22"/>
                <w:szCs w:val="22"/>
              </w:rPr>
              <w:t>137</w:t>
            </w:r>
            <w:r>
              <w:rPr>
                <w:rFonts w:hint="eastAsia" w:ascii="宋体" w:hAnsi="宋体" w:cs="宋体"/>
                <w:color w:val="000000"/>
                <w:sz w:val="22"/>
                <w:szCs w:val="22"/>
                <w:lang w:val="en-US" w:eastAsia="zh-CN"/>
              </w:rPr>
              <w:t>87620119</w:t>
            </w:r>
          </w:p>
        </w:tc>
        <w:tc>
          <w:tcPr>
            <w:tcW w:w="97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r>
      <w:tr>
        <w:tblPrEx>
          <w:tblCellMar>
            <w:top w:w="0" w:type="dxa"/>
            <w:left w:w="0" w:type="dxa"/>
            <w:bottom w:w="0" w:type="dxa"/>
            <w:right w:w="0" w:type="dxa"/>
          </w:tblCellMar>
        </w:tblPrEx>
        <w:trPr>
          <w:trHeight w:val="1134" w:hRule="exact"/>
        </w:trPr>
        <w:tc>
          <w:tcPr>
            <w:tcW w:w="67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2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6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27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bookmarkStart w:id="0" w:name="_GoBack"/>
            <w:bookmarkEnd w:id="0"/>
          </w:p>
        </w:tc>
        <w:tc>
          <w:tcPr>
            <w:tcW w:w="10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cs="宋体"/>
                <w:color w:val="000000"/>
                <w:sz w:val="22"/>
                <w:szCs w:val="22"/>
              </w:rPr>
            </w:pPr>
          </w:p>
        </w:tc>
        <w:tc>
          <w:tcPr>
            <w:tcW w:w="97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r>
      <w:tr>
        <w:tblPrEx>
          <w:tblCellMar>
            <w:top w:w="0" w:type="dxa"/>
            <w:left w:w="0" w:type="dxa"/>
            <w:bottom w:w="0" w:type="dxa"/>
            <w:right w:w="0" w:type="dxa"/>
          </w:tblCellMar>
        </w:tblPrEx>
        <w:trPr>
          <w:trHeight w:val="1134" w:hRule="exact"/>
        </w:trPr>
        <w:tc>
          <w:tcPr>
            <w:tcW w:w="67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2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6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27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0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cs="宋体"/>
                <w:color w:val="000000"/>
                <w:sz w:val="22"/>
                <w:szCs w:val="22"/>
              </w:rPr>
            </w:pPr>
          </w:p>
        </w:tc>
        <w:tc>
          <w:tcPr>
            <w:tcW w:w="97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r>
      <w:tr>
        <w:tblPrEx>
          <w:tblCellMar>
            <w:top w:w="0" w:type="dxa"/>
            <w:left w:w="0" w:type="dxa"/>
            <w:bottom w:w="0" w:type="dxa"/>
            <w:right w:w="0" w:type="dxa"/>
          </w:tblCellMar>
        </w:tblPrEx>
        <w:trPr>
          <w:trHeight w:val="1134" w:hRule="exact"/>
        </w:trPr>
        <w:tc>
          <w:tcPr>
            <w:tcW w:w="67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2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6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27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0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cs="宋体"/>
                <w:color w:val="000000"/>
                <w:sz w:val="22"/>
                <w:szCs w:val="22"/>
              </w:rPr>
            </w:pPr>
          </w:p>
        </w:tc>
        <w:tc>
          <w:tcPr>
            <w:tcW w:w="97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r>
      <w:tr>
        <w:tblPrEx>
          <w:tblCellMar>
            <w:top w:w="0" w:type="dxa"/>
            <w:left w:w="0" w:type="dxa"/>
            <w:bottom w:w="0" w:type="dxa"/>
            <w:right w:w="0" w:type="dxa"/>
          </w:tblCellMar>
        </w:tblPrEx>
        <w:trPr>
          <w:trHeight w:val="1134" w:hRule="exact"/>
        </w:trPr>
        <w:tc>
          <w:tcPr>
            <w:tcW w:w="67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2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6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278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0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cs="宋体"/>
                <w:color w:val="000000"/>
                <w:sz w:val="22"/>
                <w:szCs w:val="22"/>
              </w:rPr>
            </w:pPr>
          </w:p>
        </w:tc>
        <w:tc>
          <w:tcPr>
            <w:tcW w:w="97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rPr>
                <w:rFonts w:hint="eastAsia" w:ascii="宋体" w:hAnsi="宋体" w:cs="宋体"/>
                <w:color w:val="000000"/>
                <w:sz w:val="22"/>
                <w:szCs w:val="22"/>
              </w:rPr>
            </w:pPr>
          </w:p>
        </w:tc>
      </w:tr>
    </w:tbl>
    <w:p>
      <w:pPr>
        <w:widowControl/>
        <w:rPr>
          <w:rFonts w:hint="eastAsia" w:ascii="黑体" w:hAnsi="宋体" w:eastAsia="黑体"/>
          <w:kern w:val="0"/>
          <w:sz w:val="32"/>
          <w:szCs w:val="32"/>
        </w:rPr>
      </w:pPr>
    </w:p>
    <w:p>
      <w:pPr>
        <w:spacing w:line="600" w:lineRule="exact"/>
        <w:ind w:right="600"/>
        <w:rPr>
          <w:rFonts w:hint="eastAsia" w:ascii="黑体" w:hAnsi="黑体" w:eastAsia="黑体"/>
          <w:kern w:val="0"/>
          <w:sz w:val="36"/>
          <w:szCs w:val="36"/>
        </w:rPr>
      </w:pPr>
    </w:p>
    <w:p>
      <w:pPr>
        <w:rPr>
          <w:rFonts w:hint="default"/>
          <w:lang w:val="en-US"/>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ZjQwNjYwYjM5MTM3ZWIzZDRhNDBlMjI5YTlhZDYifQ=="/>
  </w:docVars>
  <w:rsids>
    <w:rsidRoot w:val="35A824D1"/>
    <w:rsid w:val="068E19BA"/>
    <w:rsid w:val="35A824D1"/>
    <w:rsid w:val="4BC4483D"/>
    <w:rsid w:val="500641FD"/>
    <w:rsid w:val="5CF57351"/>
    <w:rsid w:val="5FE05FA4"/>
    <w:rsid w:val="6FF62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11"/>
    <w:basedOn w:val="5"/>
    <w:qFormat/>
    <w:uiPriority w:val="0"/>
    <w:rPr>
      <w:rFonts w:hint="eastAsia" w:ascii="宋体" w:hAnsi="宋体" w:eastAsia="宋体" w:cs="宋体"/>
      <w:color w:val="000000"/>
      <w:sz w:val="44"/>
      <w:szCs w:val="44"/>
      <w:u w:val="none"/>
    </w:rPr>
  </w:style>
  <w:style w:type="character" w:customStyle="1" w:styleId="7">
    <w:name w:val="font0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8729</Words>
  <Characters>9510</Characters>
  <Lines>0</Lines>
  <Paragraphs>0</Paragraphs>
  <TotalTime>1</TotalTime>
  <ScaleCrop>false</ScaleCrop>
  <LinksUpToDate>false</LinksUpToDate>
  <CharactersWithSpaces>10007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2024-04-16T06:52:00Z</dcterms:created>
  <dc:creator>草根医</dc:creator>
  <cp:lastModifiedBy>草根医</cp:lastModifiedBy>
  <dcterms:modified xsi:type="dcterms:W3CDTF">2024-05-06T07:23:50Z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0BC64D284EC6476AB6E5B0F5CF4C6C72_11</vt:lpwstr>
  </property>
</Properties>
</file>